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4EC04" w14:textId="77777777"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Reporte Técnico: Tasa de Crecimiento de Carbono en Bosques Maduros Tropicales (&gt;100 años)</w:t>
      </w:r>
    </w:p>
    <w:p w14:paraId="553F501C" w14:textId="2A1D67DB"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Objetivo:</w:t>
      </w:r>
      <w:r w:rsidRPr="002A426F">
        <w:rPr>
          <w:rFonts w:ascii="Arial" w:eastAsia="Times New Roman" w:hAnsi="Arial" w:cs="Arial"/>
          <w:sz w:val="24"/>
          <w:szCs w:val="24"/>
          <w:lang w:eastAsia="es-MX"/>
        </w:rPr>
        <w:t xml:space="preserve"> Determinar la tasa de crecimiento de carbono en bosques maduros tropicales, utilizando el paper de Hall et al. (2022) y fuentes bibliográficas complementarias.</w:t>
      </w:r>
    </w:p>
    <w:p w14:paraId="78F12945" w14:textId="77777777" w:rsidR="00115B87"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eastAsia="es-MX"/>
        </w:rPr>
        <w:pict w14:anchorId="61F6ABE3">
          <v:rect id="_x0000_i1025" alt="" style="width:468pt;height:.05pt;mso-width-percent:0;mso-height-percent:0;mso-width-percent:0;mso-height-percent:0" o:hralign="center" o:hrstd="t" o:hr="t" fillcolor="#a0a0a0" stroked="f"/>
        </w:pict>
      </w:r>
    </w:p>
    <w:p w14:paraId="56C939DF" w14:textId="77777777"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1. Introducción</w:t>
      </w:r>
    </w:p>
    <w:p w14:paraId="00BDF8F5" w14:textId="7777777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Los bosques maduros tropicales desempeñan un papel fundamental en el ciclo global del carbono al actuar como grandes reservorios. Aunque su tasa de crecimiento neta de carbono es menor que la de los bosques secundarios, entender su contribución es crucial para evaluar su relevancia en la mitigación del cambio climático. Este reporte analiza la tasa de crecimiento en estos ecosistemas, integrando el modelo de Hall et al. y datos empíricos de Barro Colorado Island (BCI) y otras referencias.</w:t>
      </w:r>
    </w:p>
    <w:p w14:paraId="1304736C" w14:textId="77777777" w:rsidR="00115B87"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eastAsia="es-MX"/>
        </w:rPr>
        <w:pict w14:anchorId="4F2D1248">
          <v:rect id="_x0000_i1026" alt="" style="width:468pt;height:.05pt;mso-width-percent:0;mso-height-percent:0;mso-width-percent:0;mso-height-percent:0" o:hralign="center" o:hrstd="t" o:hr="t" fillcolor="#a0a0a0" stroked="f"/>
        </w:pict>
      </w:r>
    </w:p>
    <w:p w14:paraId="2CCCB45A" w14:textId="77777777"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2. Análisis del Paper de Hall et al. (2022)</w:t>
      </w:r>
    </w:p>
    <w:p w14:paraId="511882E0" w14:textId="74D26001" w:rsidR="00E37456"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Hall et al. utilizan un modelo de acumulación de carbono basado en datos empíricos de Agua Salud, Panamá. Para bosques maduros (&gt;100 años), el estudio sugiere que:</w:t>
      </w:r>
    </w:p>
    <w:p w14:paraId="75632364" w14:textId="7114A783" w:rsidR="00115B87" w:rsidRPr="002A426F" w:rsidRDefault="00115B87"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Las tasas de crecimiento neto se estabilizan</w:t>
      </w:r>
      <w:r w:rsidR="005318FE" w:rsidRPr="002A426F">
        <w:rPr>
          <w:rFonts w:ascii="Arial" w:eastAsia="Times New Roman" w:hAnsi="Arial" w:cs="Arial"/>
          <w:sz w:val="24"/>
          <w:szCs w:val="24"/>
          <w:lang w:eastAsia="es-MX"/>
        </w:rPr>
        <w:t xml:space="preserve"> en</w:t>
      </w:r>
      <w:r w:rsidRPr="002A426F">
        <w:rPr>
          <w:rFonts w:ascii="Arial" w:eastAsia="Times New Roman" w:hAnsi="Arial" w:cs="Arial"/>
          <w:sz w:val="24"/>
          <w:szCs w:val="24"/>
          <w:lang w:eastAsia="es-MX"/>
        </w:rPr>
        <w:t xml:space="preserve"> </w:t>
      </w:r>
      <w:r w:rsidRPr="002A426F">
        <w:rPr>
          <w:rFonts w:ascii="Arial" w:eastAsia="Times New Roman" w:hAnsi="Arial" w:cs="Arial"/>
          <w:b/>
          <w:bCs/>
          <w:sz w:val="24"/>
          <w:szCs w:val="24"/>
          <w:lang w:eastAsia="es-MX"/>
        </w:rPr>
        <w:t>0.5 Mg C/ha/año</w:t>
      </w:r>
      <w:r w:rsidR="00E37456" w:rsidRPr="002A426F">
        <w:rPr>
          <w:rFonts w:ascii="Arial" w:eastAsia="Times New Roman" w:hAnsi="Arial" w:cs="Arial"/>
          <w:b/>
          <w:bCs/>
          <w:sz w:val="24"/>
          <w:szCs w:val="24"/>
          <w:lang w:eastAsia="es-MX"/>
        </w:rPr>
        <w:t xml:space="preserve"> (con un rango de 0.4- 0.6 Mg C/ha/año)</w:t>
      </w:r>
      <w:r w:rsidRPr="002A426F">
        <w:rPr>
          <w:rFonts w:ascii="Arial" w:eastAsia="Times New Roman" w:hAnsi="Arial" w:cs="Arial"/>
          <w:sz w:val="24"/>
          <w:szCs w:val="24"/>
          <w:lang w:eastAsia="es-MX"/>
        </w:rPr>
        <w:t>.</w:t>
      </w:r>
    </w:p>
    <w:p w14:paraId="26017112" w14:textId="45736F00" w:rsidR="005318FE" w:rsidRPr="002A426F" w:rsidRDefault="005318FE"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Tasa neta de acumulación en bosques maduros (&gt;100 años):</w:t>
      </w:r>
      <w:r w:rsidRPr="002A426F">
        <w:rPr>
          <w:rFonts w:ascii="Arial" w:eastAsia="Times New Roman" w:hAnsi="Arial" w:cs="Arial"/>
          <w:sz w:val="24"/>
          <w:szCs w:val="24"/>
          <w:lang w:eastAsia="es-MX"/>
        </w:rPr>
        <w:br/>
        <w:t xml:space="preserve">Hall et al. indican que las tasas netas de crecimiento en bosques maduros se estabilizan en </w:t>
      </w:r>
      <w:r w:rsidRPr="002A426F">
        <w:rPr>
          <w:rFonts w:ascii="Arial" w:eastAsia="Times New Roman" w:hAnsi="Arial" w:cs="Arial"/>
          <w:b/>
          <w:bCs/>
          <w:sz w:val="24"/>
          <w:szCs w:val="24"/>
          <w:lang w:eastAsia="es-MX"/>
        </w:rPr>
        <w:t>~0.5 Mg C/ha/año</w:t>
      </w:r>
      <w:r w:rsidRPr="002A426F">
        <w:rPr>
          <w:rFonts w:ascii="Arial" w:eastAsia="Times New Roman" w:hAnsi="Arial" w:cs="Arial"/>
          <w:sz w:val="24"/>
          <w:szCs w:val="24"/>
          <w:lang w:eastAsia="es-MX"/>
        </w:rPr>
        <w:t xml:space="preserve"> (rango: 0.4–0.6 Mg C/ha/año). Este valor se considera neto porque:</w:t>
      </w:r>
    </w:p>
    <w:p w14:paraId="205B8167" w14:textId="77777777" w:rsidR="005318FE" w:rsidRPr="002A426F" w:rsidRDefault="005318FE"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Incluye las pérdidas por mortalidad de árboles grandes.</w:t>
      </w:r>
    </w:p>
    <w:p w14:paraId="7180194B" w14:textId="77777777" w:rsidR="005318FE" w:rsidRPr="002A426F" w:rsidRDefault="005318FE"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Considera las contribuciones de crecimiento de árboles jóvenes.</w:t>
      </w:r>
    </w:p>
    <w:p w14:paraId="5A573A05" w14:textId="782F90F1" w:rsidR="005318FE" w:rsidRPr="002A426F" w:rsidRDefault="005318FE"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Concepto de equilibrio dinámico:</w:t>
      </w:r>
      <w:r w:rsidRPr="002A426F">
        <w:rPr>
          <w:rFonts w:ascii="Arial" w:eastAsia="Times New Roman" w:hAnsi="Arial" w:cs="Arial"/>
          <w:sz w:val="24"/>
          <w:szCs w:val="24"/>
          <w:lang w:eastAsia="es-MX"/>
        </w:rPr>
        <w:br/>
        <w:t xml:space="preserve">El valor de </w:t>
      </w:r>
      <w:r w:rsidRPr="002A426F">
        <w:rPr>
          <w:rFonts w:ascii="Arial" w:eastAsia="Times New Roman" w:hAnsi="Arial" w:cs="Arial"/>
          <w:b/>
          <w:bCs/>
          <w:sz w:val="24"/>
          <w:szCs w:val="24"/>
          <w:lang w:eastAsia="es-MX"/>
        </w:rPr>
        <w:t>0.5 Mg C/ha/año</w:t>
      </w:r>
      <w:r w:rsidRPr="002A426F">
        <w:rPr>
          <w:rFonts w:ascii="Arial" w:eastAsia="Times New Roman" w:hAnsi="Arial" w:cs="Arial"/>
          <w:sz w:val="24"/>
          <w:szCs w:val="24"/>
          <w:lang w:eastAsia="es-MX"/>
        </w:rPr>
        <w:t xml:space="preserve"> no significa que el balance sea cero. El término </w:t>
      </w:r>
      <w:r w:rsidRPr="002A426F">
        <w:rPr>
          <w:rFonts w:ascii="Arial" w:eastAsia="Times New Roman" w:hAnsi="Arial" w:cs="Arial"/>
          <w:sz w:val="24"/>
          <w:szCs w:val="24"/>
          <w:lang w:eastAsia="es-MX"/>
        </w:rPr>
        <w:lastRenderedPageBreak/>
        <w:t xml:space="preserve">"equilibrio dinámico" implica que, aunque hay compensación, aún queda un </w:t>
      </w:r>
      <w:r w:rsidRPr="002A426F">
        <w:rPr>
          <w:rFonts w:ascii="Arial" w:eastAsia="Times New Roman" w:hAnsi="Arial" w:cs="Arial"/>
          <w:b/>
          <w:bCs/>
          <w:sz w:val="24"/>
          <w:szCs w:val="24"/>
          <w:lang w:eastAsia="es-MX"/>
        </w:rPr>
        <w:t>incremento neto positivo</w:t>
      </w:r>
      <w:r w:rsidRPr="002A426F">
        <w:rPr>
          <w:rFonts w:ascii="Arial" w:eastAsia="Times New Roman" w:hAnsi="Arial" w:cs="Arial"/>
          <w:sz w:val="24"/>
          <w:szCs w:val="24"/>
          <w:lang w:eastAsia="es-MX"/>
        </w:rPr>
        <w:t xml:space="preserve"> (modesto, pero positivo), lo que permite que los bosques maduros sigan acumulando carbono lentamente.</w:t>
      </w:r>
    </w:p>
    <w:p w14:paraId="5F59C1AF" w14:textId="3188804B" w:rsidR="005318FE" w:rsidRPr="002A426F" w:rsidRDefault="005318FE"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Soporte en datos de campo y modelos:</w:t>
      </w:r>
    </w:p>
    <w:p w14:paraId="116837AF" w14:textId="77777777" w:rsidR="005318FE" w:rsidRPr="002A426F" w:rsidRDefault="005318FE" w:rsidP="002A426F">
      <w:pPr>
        <w:numPr>
          <w:ilvl w:val="0"/>
          <w:numId w:val="1"/>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Hall et al. usan datos empíricos de Agua Salud, calibrados con parcelas de campo y modelos de acumulación, lo que garantiza que los valores reportados reflejen el balance neto real.</w:t>
      </w:r>
    </w:p>
    <w:p w14:paraId="024B0954" w14:textId="4F5E966F" w:rsidR="002A426F" w:rsidRPr="002A426F" w:rsidRDefault="002A426F" w:rsidP="002A426F">
      <w:pPr>
        <w:spacing w:before="100" w:beforeAutospacing="1" w:after="100" w:afterAutospacing="1" w:line="360" w:lineRule="auto"/>
        <w:jc w:val="both"/>
        <w:rPr>
          <w:rFonts w:ascii="Arial" w:hAnsi="Arial" w:cs="Arial"/>
          <w:sz w:val="24"/>
          <w:szCs w:val="24"/>
        </w:rPr>
      </w:pPr>
      <w:r w:rsidRPr="002A426F">
        <w:rPr>
          <w:rStyle w:val="Textoennegrita"/>
          <w:rFonts w:ascii="Arial" w:hAnsi="Arial" w:cs="Arial"/>
          <w:sz w:val="24"/>
          <w:szCs w:val="24"/>
        </w:rPr>
        <w:t>Métodos:</w:t>
      </w:r>
      <w:r w:rsidRPr="002A426F">
        <w:rPr>
          <w:rFonts w:ascii="Arial" w:hAnsi="Arial" w:cs="Arial"/>
          <w:sz w:val="24"/>
          <w:szCs w:val="24"/>
        </w:rPr>
        <w:t xml:space="preserve"> El estudio se llevó a cabo en el centro de Panamá utilizando un mapa de carbono derivado de </w:t>
      </w:r>
      <w:proofErr w:type="spellStart"/>
      <w:r w:rsidRPr="002A426F">
        <w:rPr>
          <w:rFonts w:ascii="Arial" w:hAnsi="Arial" w:cs="Arial"/>
          <w:sz w:val="24"/>
          <w:szCs w:val="24"/>
        </w:rPr>
        <w:t>LiDAR</w:t>
      </w:r>
      <w:proofErr w:type="spellEnd"/>
      <w:r w:rsidRPr="002A426F">
        <w:rPr>
          <w:rFonts w:ascii="Arial" w:hAnsi="Arial" w:cs="Arial"/>
          <w:sz w:val="24"/>
          <w:szCs w:val="24"/>
        </w:rPr>
        <w:t xml:space="preserve"> con una resolución de 1 ha, acoplado a un modelo de acumulación de carbono en bosques secundarios desarrollado localmente. El modelo </w:t>
      </w:r>
      <w:proofErr w:type="spellStart"/>
      <w:r w:rsidRPr="002A426F">
        <w:rPr>
          <w:rFonts w:ascii="Arial" w:hAnsi="Arial" w:cs="Arial"/>
          <w:sz w:val="24"/>
          <w:szCs w:val="24"/>
        </w:rPr>
        <w:t>Dinamica</w:t>
      </w:r>
      <w:proofErr w:type="spellEnd"/>
      <w:r w:rsidRPr="002A426F">
        <w:rPr>
          <w:rFonts w:ascii="Arial" w:hAnsi="Arial" w:cs="Arial"/>
          <w:sz w:val="24"/>
          <w:szCs w:val="24"/>
        </w:rPr>
        <w:t xml:space="preserve"> EGO simuló la pérdida de bosque de manera espacial, utilizando tasas recientes de deforestación, mientras que los flujos de carbono del ecosistema se estimaron mediante estudios locales de carbono subterráneo, madera muerta y lianas.</w:t>
      </w:r>
    </w:p>
    <w:p w14:paraId="1C582F5E" w14:textId="77777777" w:rsidR="002A426F" w:rsidRPr="002A426F" w:rsidRDefault="002A426F" w:rsidP="002A426F">
      <w:pPr>
        <w:spacing w:before="100" w:beforeAutospacing="1" w:after="100" w:afterAutospacing="1" w:line="360" w:lineRule="auto"/>
        <w:jc w:val="both"/>
        <w:rPr>
          <w:rFonts w:ascii="Arial" w:hAnsi="Arial" w:cs="Arial"/>
          <w:sz w:val="24"/>
          <w:szCs w:val="24"/>
        </w:rPr>
      </w:pPr>
      <w:r w:rsidRPr="002A426F">
        <w:rPr>
          <w:rFonts w:ascii="Arial" w:hAnsi="Arial" w:cs="Arial"/>
          <w:sz w:val="24"/>
          <w:szCs w:val="24"/>
        </w:rPr>
        <w:t>El modelo usado por Hall et al. (2022) para estimar la biomasa en bosques secundarios y maduros combina datos empíricos locales con ecuaciones alométricas y análisis estadístico. A continuación, desgloso los pasos principales:</w:t>
      </w:r>
    </w:p>
    <w:p w14:paraId="7E1DD7D3" w14:textId="77777777" w:rsidR="002A426F"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sz w:val="24"/>
          <w:szCs w:val="24"/>
          <w:lang w:eastAsia="es-MX"/>
        </w:rPr>
        <w:pict w14:anchorId="0518521D">
          <v:rect id="_x0000_i1027" style="width:0;height:1.5pt" o:hralign="center" o:hrstd="t" o:hr="t" fillcolor="#a0a0a0" stroked="f"/>
        </w:pict>
      </w:r>
    </w:p>
    <w:p w14:paraId="59EDC013" w14:textId="590EEE15" w:rsidR="002A426F" w:rsidRPr="002A426F" w:rsidRDefault="002A426F" w:rsidP="002A426F">
      <w:pPr>
        <w:spacing w:before="100" w:beforeAutospacing="1" w:after="100" w:afterAutospacing="1" w:line="360" w:lineRule="auto"/>
        <w:jc w:val="both"/>
        <w:outlineLvl w:val="2"/>
        <w:rPr>
          <w:rFonts w:ascii="Arial" w:hAnsi="Arial" w:cs="Arial"/>
          <w:sz w:val="24"/>
          <w:szCs w:val="24"/>
        </w:rPr>
      </w:pPr>
      <w:r w:rsidRPr="002A426F">
        <w:rPr>
          <w:rFonts w:ascii="Arial" w:hAnsi="Arial" w:cs="Arial"/>
          <w:sz w:val="24"/>
          <w:szCs w:val="24"/>
        </w:rPr>
        <w:t xml:space="preserve"> Datos Iniciales y Fuente de Información</w:t>
      </w:r>
    </w:p>
    <w:p w14:paraId="10EE6DA6" w14:textId="30215C20" w:rsidR="002A426F" w:rsidRPr="002A426F" w:rsidRDefault="002A426F" w:rsidP="002A426F">
      <w:pPr>
        <w:numPr>
          <w:ilvl w:val="0"/>
          <w:numId w:val="12"/>
        </w:numPr>
        <w:spacing w:before="100" w:beforeAutospacing="1" w:after="100" w:afterAutospacing="1" w:line="360" w:lineRule="auto"/>
        <w:jc w:val="both"/>
        <w:rPr>
          <w:rFonts w:ascii="Arial" w:hAnsi="Arial" w:cs="Arial"/>
          <w:sz w:val="24"/>
          <w:szCs w:val="24"/>
        </w:rPr>
      </w:pPr>
      <w:r w:rsidRPr="002A426F">
        <w:rPr>
          <w:rFonts w:ascii="Arial" w:hAnsi="Arial" w:cs="Arial"/>
          <w:sz w:val="24"/>
          <w:szCs w:val="24"/>
        </w:rPr>
        <w:t>Base de datos local:</w:t>
      </w:r>
      <w:r>
        <w:rPr>
          <w:rFonts w:ascii="Arial" w:hAnsi="Arial" w:cs="Arial"/>
          <w:sz w:val="24"/>
          <w:szCs w:val="24"/>
        </w:rPr>
        <w:t xml:space="preserve"> </w:t>
      </w:r>
      <w:r w:rsidRPr="002A426F">
        <w:rPr>
          <w:rFonts w:ascii="Arial" w:hAnsi="Arial" w:cs="Arial"/>
          <w:sz w:val="24"/>
          <w:szCs w:val="24"/>
        </w:rPr>
        <w:br/>
        <w:t xml:space="preserve">Se utilizaron datos de 108 parcelas del proyecto </w:t>
      </w:r>
      <w:proofErr w:type="spellStart"/>
      <w:r w:rsidRPr="002A426F">
        <w:rPr>
          <w:rFonts w:ascii="Arial" w:hAnsi="Arial" w:cs="Arial"/>
          <w:sz w:val="24"/>
          <w:szCs w:val="24"/>
        </w:rPr>
        <w:t>Secondary</w:t>
      </w:r>
      <w:proofErr w:type="spellEnd"/>
      <w:r w:rsidRPr="002A426F">
        <w:rPr>
          <w:rFonts w:ascii="Arial" w:hAnsi="Arial" w:cs="Arial"/>
          <w:sz w:val="24"/>
          <w:szCs w:val="24"/>
        </w:rPr>
        <w:t xml:space="preserve"> Forest Dynamics (SFD) en el área de Agua Salud, Panamá. Estas parcelas incluyen mediciones a lo largo de 10 años, cubriendo bosques secundarios y maduros.</w:t>
      </w:r>
    </w:p>
    <w:p w14:paraId="25F13D7E" w14:textId="0AD80481" w:rsidR="002A426F" w:rsidRPr="002A426F" w:rsidRDefault="002A426F" w:rsidP="002A426F">
      <w:pPr>
        <w:numPr>
          <w:ilvl w:val="0"/>
          <w:numId w:val="12"/>
        </w:numPr>
        <w:spacing w:before="100" w:beforeAutospacing="1" w:after="100" w:afterAutospacing="1" w:line="360" w:lineRule="auto"/>
        <w:jc w:val="both"/>
        <w:rPr>
          <w:rFonts w:ascii="Arial" w:hAnsi="Arial" w:cs="Arial"/>
          <w:sz w:val="24"/>
          <w:szCs w:val="24"/>
        </w:rPr>
      </w:pPr>
      <w:r w:rsidRPr="002A426F">
        <w:rPr>
          <w:rFonts w:ascii="Arial" w:hAnsi="Arial" w:cs="Arial"/>
          <w:sz w:val="24"/>
          <w:szCs w:val="24"/>
        </w:rPr>
        <w:t>Ecuaciones alométricas:</w:t>
      </w:r>
      <w:r w:rsidRPr="002A426F">
        <w:rPr>
          <w:rFonts w:ascii="Arial" w:hAnsi="Arial" w:cs="Arial"/>
          <w:sz w:val="24"/>
          <w:szCs w:val="24"/>
        </w:rPr>
        <w:br/>
        <w:t xml:space="preserve">Las ecuaciones fueron desarrolladas localmente por van </w:t>
      </w:r>
      <w:proofErr w:type="spellStart"/>
      <w:r w:rsidRPr="002A426F">
        <w:rPr>
          <w:rFonts w:ascii="Arial" w:hAnsi="Arial" w:cs="Arial"/>
          <w:sz w:val="24"/>
          <w:szCs w:val="24"/>
        </w:rPr>
        <w:t>Breugel</w:t>
      </w:r>
      <w:proofErr w:type="spellEnd"/>
      <w:r w:rsidRPr="002A426F">
        <w:rPr>
          <w:rFonts w:ascii="Arial" w:hAnsi="Arial" w:cs="Arial"/>
          <w:sz w:val="24"/>
          <w:szCs w:val="24"/>
        </w:rPr>
        <w:t xml:space="preserve"> et al. (2011) y utilizadas para estimar la densidad de carbono aérea (AGB) en cada parcela.</w:t>
      </w:r>
    </w:p>
    <w:p w14:paraId="32D0C97D" w14:textId="77777777" w:rsidR="002A426F" w:rsidRPr="002A426F" w:rsidRDefault="002A426F" w:rsidP="002A426F">
      <w:pPr>
        <w:numPr>
          <w:ilvl w:val="0"/>
          <w:numId w:val="12"/>
        </w:numPr>
        <w:spacing w:before="100" w:beforeAutospacing="1" w:after="100" w:afterAutospacing="1" w:line="360" w:lineRule="auto"/>
        <w:jc w:val="both"/>
        <w:rPr>
          <w:rFonts w:ascii="Arial" w:hAnsi="Arial" w:cs="Arial"/>
          <w:sz w:val="24"/>
          <w:szCs w:val="24"/>
        </w:rPr>
      </w:pPr>
      <w:r w:rsidRPr="002A426F">
        <w:rPr>
          <w:rFonts w:ascii="Arial" w:hAnsi="Arial" w:cs="Arial"/>
          <w:sz w:val="24"/>
          <w:szCs w:val="24"/>
        </w:rPr>
        <w:t xml:space="preserve">Modelo </w:t>
      </w:r>
      <w:proofErr w:type="spellStart"/>
      <w:r w:rsidRPr="002A426F">
        <w:rPr>
          <w:rFonts w:ascii="Arial" w:hAnsi="Arial" w:cs="Arial"/>
          <w:sz w:val="24"/>
          <w:szCs w:val="24"/>
        </w:rPr>
        <w:t>LiDAR</w:t>
      </w:r>
      <w:proofErr w:type="spellEnd"/>
      <w:r w:rsidRPr="002A426F">
        <w:rPr>
          <w:rFonts w:ascii="Arial" w:hAnsi="Arial" w:cs="Arial"/>
          <w:sz w:val="24"/>
          <w:szCs w:val="24"/>
        </w:rPr>
        <w:t>:</w:t>
      </w:r>
      <w:r w:rsidRPr="002A426F">
        <w:rPr>
          <w:rFonts w:ascii="Arial" w:hAnsi="Arial" w:cs="Arial"/>
          <w:sz w:val="24"/>
          <w:szCs w:val="24"/>
        </w:rPr>
        <w:br/>
        <w:t xml:space="preserve">Los datos de las parcelas se combinaron con información de un modelo basado </w:t>
      </w:r>
      <w:r w:rsidRPr="002A426F">
        <w:rPr>
          <w:rFonts w:ascii="Arial" w:hAnsi="Arial" w:cs="Arial"/>
          <w:sz w:val="24"/>
          <w:szCs w:val="24"/>
        </w:rPr>
        <w:lastRenderedPageBreak/>
        <w:t xml:space="preserve">en </w:t>
      </w:r>
      <w:proofErr w:type="spellStart"/>
      <w:r w:rsidRPr="002A426F">
        <w:rPr>
          <w:rFonts w:ascii="Arial" w:hAnsi="Arial" w:cs="Arial"/>
          <w:sz w:val="24"/>
          <w:szCs w:val="24"/>
        </w:rPr>
        <w:t>LiDAR</w:t>
      </w:r>
      <w:proofErr w:type="spellEnd"/>
      <w:r w:rsidRPr="002A426F">
        <w:rPr>
          <w:rFonts w:ascii="Arial" w:hAnsi="Arial" w:cs="Arial"/>
          <w:sz w:val="24"/>
          <w:szCs w:val="24"/>
        </w:rPr>
        <w:t xml:space="preserve"> de alta resolución, desarrollado previamente por </w:t>
      </w:r>
      <w:proofErr w:type="spellStart"/>
      <w:r w:rsidRPr="002A426F">
        <w:rPr>
          <w:rFonts w:ascii="Arial" w:hAnsi="Arial" w:cs="Arial"/>
          <w:sz w:val="24"/>
          <w:szCs w:val="24"/>
        </w:rPr>
        <w:t>Asner</w:t>
      </w:r>
      <w:proofErr w:type="spellEnd"/>
      <w:r w:rsidRPr="002A426F">
        <w:rPr>
          <w:rFonts w:ascii="Arial" w:hAnsi="Arial" w:cs="Arial"/>
          <w:sz w:val="24"/>
          <w:szCs w:val="24"/>
        </w:rPr>
        <w:t xml:space="preserve"> et al. (2013) para todo </w:t>
      </w:r>
      <w:proofErr w:type="gramStart"/>
      <w:r w:rsidRPr="002A426F">
        <w:rPr>
          <w:rFonts w:ascii="Arial" w:hAnsi="Arial" w:cs="Arial"/>
          <w:sz w:val="24"/>
          <w:szCs w:val="24"/>
        </w:rPr>
        <w:t>Panamá .</w:t>
      </w:r>
      <w:proofErr w:type="gramEnd"/>
    </w:p>
    <w:p w14:paraId="0ECE9B87" w14:textId="77777777" w:rsidR="002A426F" w:rsidRPr="002A426F" w:rsidRDefault="00351884" w:rsidP="002A426F">
      <w:pPr>
        <w:spacing w:after="0" w:line="360" w:lineRule="auto"/>
        <w:jc w:val="both"/>
        <w:rPr>
          <w:rFonts w:ascii="Arial" w:hAnsi="Arial" w:cs="Arial"/>
          <w:sz w:val="24"/>
          <w:szCs w:val="24"/>
        </w:rPr>
      </w:pPr>
      <w:r>
        <w:rPr>
          <w:rFonts w:ascii="Arial" w:hAnsi="Arial" w:cs="Arial"/>
          <w:sz w:val="24"/>
          <w:szCs w:val="24"/>
        </w:rPr>
        <w:pict w14:anchorId="1112E141">
          <v:rect id="_x0000_i1028" style="width:0;height:1.5pt" o:hralign="center" o:hrstd="t" o:hr="t" fillcolor="#a0a0a0" stroked="f"/>
        </w:pict>
      </w:r>
    </w:p>
    <w:p w14:paraId="273138BA" w14:textId="77777777" w:rsidR="002A426F" w:rsidRPr="002A426F" w:rsidRDefault="002A426F" w:rsidP="002A426F">
      <w:pPr>
        <w:spacing w:before="100" w:beforeAutospacing="1" w:after="100" w:afterAutospacing="1" w:line="360" w:lineRule="auto"/>
        <w:jc w:val="both"/>
        <w:outlineLvl w:val="2"/>
        <w:rPr>
          <w:rFonts w:ascii="Arial" w:hAnsi="Arial" w:cs="Arial"/>
          <w:sz w:val="24"/>
          <w:szCs w:val="24"/>
        </w:rPr>
      </w:pPr>
      <w:r w:rsidRPr="002A426F">
        <w:rPr>
          <w:rFonts w:ascii="Arial" w:hAnsi="Arial" w:cs="Arial"/>
          <w:sz w:val="24"/>
          <w:szCs w:val="24"/>
        </w:rPr>
        <w:t>2. Modelos Matemáticos para AGB</w:t>
      </w:r>
    </w:p>
    <w:p w14:paraId="2659F144" w14:textId="596AF58D" w:rsidR="002A426F" w:rsidRPr="002A426F" w:rsidRDefault="002A426F" w:rsidP="002A426F">
      <w:pPr>
        <w:spacing w:before="100" w:beforeAutospacing="1" w:after="100" w:afterAutospacing="1" w:line="360" w:lineRule="auto"/>
        <w:jc w:val="both"/>
        <w:rPr>
          <w:rFonts w:ascii="Arial" w:hAnsi="Arial" w:cs="Arial"/>
          <w:sz w:val="24"/>
          <w:szCs w:val="24"/>
        </w:rPr>
      </w:pPr>
      <w:r w:rsidRPr="002A426F">
        <w:rPr>
          <w:rFonts w:ascii="Arial" w:hAnsi="Arial" w:cs="Arial"/>
          <w:sz w:val="24"/>
          <w:szCs w:val="24"/>
        </w:rPr>
        <w:t>Hall et al. probaron cinco tipos de modelos matemáticos para estimar la relación entre la biomasa aérea (AGB) y la edad del bosque. Los modelos evaluados fueron:</w:t>
      </w:r>
    </w:p>
    <w:p w14:paraId="044E7419" w14:textId="4D202D6E" w:rsidR="002A426F" w:rsidRPr="002A426F" w:rsidRDefault="002A426F"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noProof/>
          <w:sz w:val="24"/>
          <w:szCs w:val="24"/>
          <w:lang w:eastAsia="es-MX"/>
        </w:rPr>
        <w:drawing>
          <wp:inline distT="0" distB="0" distL="0" distR="0" wp14:anchorId="667BAE6C" wp14:editId="31DF60CB">
            <wp:extent cx="5363323" cy="375337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63323" cy="3753374"/>
                    </a:xfrm>
                    <a:prstGeom prst="rect">
                      <a:avLst/>
                    </a:prstGeom>
                  </pic:spPr>
                </pic:pic>
              </a:graphicData>
            </a:graphic>
          </wp:inline>
        </w:drawing>
      </w:r>
    </w:p>
    <w:p w14:paraId="2CDB574A" w14:textId="77777777" w:rsidR="002A426F" w:rsidRPr="002A426F" w:rsidRDefault="002A426F" w:rsidP="002A426F">
      <w:pPr>
        <w:pStyle w:val="Ttulo3"/>
        <w:spacing w:line="360" w:lineRule="auto"/>
        <w:jc w:val="both"/>
        <w:rPr>
          <w:rFonts w:ascii="Arial" w:hAnsi="Arial" w:cs="Arial"/>
          <w:sz w:val="24"/>
          <w:szCs w:val="24"/>
        </w:rPr>
      </w:pPr>
      <w:r w:rsidRPr="002A426F">
        <w:rPr>
          <w:rStyle w:val="Textoennegrita"/>
          <w:rFonts w:ascii="Arial" w:hAnsi="Arial" w:cs="Arial"/>
          <w:b/>
          <w:bCs/>
          <w:sz w:val="24"/>
          <w:szCs w:val="24"/>
        </w:rPr>
        <w:t>Selección del Mejor Modelo</w:t>
      </w:r>
    </w:p>
    <w:p w14:paraId="75B07BE9" w14:textId="328ADE72" w:rsidR="002A426F" w:rsidRPr="002A426F" w:rsidRDefault="002A426F" w:rsidP="002A426F">
      <w:pPr>
        <w:pStyle w:val="NormalWeb"/>
        <w:numPr>
          <w:ilvl w:val="0"/>
          <w:numId w:val="13"/>
        </w:numPr>
        <w:spacing w:line="360" w:lineRule="auto"/>
        <w:jc w:val="both"/>
        <w:rPr>
          <w:rFonts w:ascii="Arial" w:hAnsi="Arial" w:cs="Arial"/>
        </w:rPr>
      </w:pPr>
      <w:r w:rsidRPr="002A426F">
        <w:rPr>
          <w:rStyle w:val="Textoennegrita"/>
          <w:rFonts w:ascii="Arial" w:hAnsi="Arial" w:cs="Arial"/>
        </w:rPr>
        <w:t>Criterios:</w:t>
      </w:r>
      <w:r w:rsidRPr="002A426F">
        <w:rPr>
          <w:rFonts w:ascii="Arial" w:hAnsi="Arial" w:cs="Arial"/>
        </w:rPr>
        <w:br/>
        <w:t xml:space="preserve">La selección se basó en medidas de ajuste estadístico, como el </w:t>
      </w:r>
      <w:r w:rsidRPr="002A426F">
        <w:rPr>
          <w:rStyle w:val="Textoennegrita"/>
          <w:rFonts w:ascii="Arial" w:hAnsi="Arial" w:cs="Arial"/>
        </w:rPr>
        <w:t>Criterio de Información de Akaike corregido (</w:t>
      </w:r>
      <w:proofErr w:type="spellStart"/>
      <w:r w:rsidRPr="002A426F">
        <w:rPr>
          <w:rStyle w:val="Textoennegrita"/>
          <w:rFonts w:ascii="Arial" w:hAnsi="Arial" w:cs="Arial"/>
        </w:rPr>
        <w:t>AICc</w:t>
      </w:r>
      <w:proofErr w:type="spellEnd"/>
      <w:r w:rsidRPr="002A426F">
        <w:rPr>
          <w:rStyle w:val="Textoennegrita"/>
          <w:rFonts w:ascii="Arial" w:hAnsi="Arial" w:cs="Arial"/>
        </w:rPr>
        <w:t>)</w:t>
      </w:r>
      <w:r w:rsidRPr="002A426F">
        <w:rPr>
          <w:rFonts w:ascii="Arial" w:hAnsi="Arial" w:cs="Arial"/>
        </w:rPr>
        <w:t xml:space="preserve">, la </w:t>
      </w:r>
      <w:r w:rsidRPr="002A426F">
        <w:rPr>
          <w:rStyle w:val="Textoennegrita"/>
          <w:rFonts w:ascii="Arial" w:hAnsi="Arial" w:cs="Arial"/>
        </w:rPr>
        <w:t>Raíz del Error Cuadrático Medio (RMSE)</w:t>
      </w:r>
      <w:r w:rsidRPr="002A426F">
        <w:rPr>
          <w:rFonts w:ascii="Arial" w:hAnsi="Arial" w:cs="Arial"/>
        </w:rPr>
        <w:t xml:space="preserve"> y el coeficiente de determinación (</w:t>
      </w:r>
      <w:r w:rsidRPr="002A426F">
        <w:rPr>
          <w:rStyle w:val="katex-mathml"/>
          <w:rFonts w:ascii="Arial" w:hAnsi="Arial" w:cs="Arial"/>
        </w:rPr>
        <w:t>R</w:t>
      </w:r>
      <w:r w:rsidRPr="002A426F">
        <w:rPr>
          <w:rStyle w:val="mord"/>
          <w:rFonts w:ascii="Arial" w:hAnsi="Arial" w:cs="Arial"/>
          <w:vertAlign w:val="superscript"/>
        </w:rPr>
        <w:t>2</w:t>
      </w:r>
      <w:r w:rsidRPr="002A426F">
        <w:rPr>
          <w:rFonts w:ascii="Arial" w:hAnsi="Arial" w:cs="Arial"/>
        </w:rPr>
        <w:t>).</w:t>
      </w:r>
    </w:p>
    <w:p w14:paraId="0AB23ECE" w14:textId="429CA1FA" w:rsidR="009708FD" w:rsidRPr="00057B35" w:rsidRDefault="002A426F" w:rsidP="002A426F">
      <w:pPr>
        <w:pStyle w:val="NormalWeb"/>
        <w:numPr>
          <w:ilvl w:val="0"/>
          <w:numId w:val="13"/>
        </w:numPr>
        <w:spacing w:line="360" w:lineRule="auto"/>
        <w:jc w:val="both"/>
        <w:rPr>
          <w:rFonts w:ascii="Arial" w:hAnsi="Arial" w:cs="Arial"/>
        </w:rPr>
      </w:pPr>
      <w:r w:rsidRPr="002A426F">
        <w:rPr>
          <w:rStyle w:val="Textoennegrita"/>
          <w:rFonts w:ascii="Arial" w:hAnsi="Arial" w:cs="Arial"/>
        </w:rPr>
        <w:lastRenderedPageBreak/>
        <w:t>Resultados:</w:t>
      </w:r>
      <w:r w:rsidRPr="002A426F">
        <w:rPr>
          <w:rFonts w:ascii="Arial" w:hAnsi="Arial" w:cs="Arial"/>
        </w:rPr>
        <w:br/>
        <w:t xml:space="preserve">El modelo </w:t>
      </w:r>
      <w:r w:rsidRPr="002A426F">
        <w:rPr>
          <w:rStyle w:val="Textoennegrita"/>
          <w:rFonts w:ascii="Arial" w:hAnsi="Arial" w:cs="Arial"/>
        </w:rPr>
        <w:t>Michaelis-Menten</w:t>
      </w:r>
      <w:r w:rsidRPr="002A426F">
        <w:rPr>
          <w:rFonts w:ascii="Arial" w:hAnsi="Arial" w:cs="Arial"/>
        </w:rPr>
        <w:t xml:space="preserve"> tuvo el mejor rendimiento, con el </w:t>
      </w:r>
      <w:proofErr w:type="spellStart"/>
      <w:r w:rsidRPr="002A426F">
        <w:rPr>
          <w:rFonts w:ascii="Arial" w:hAnsi="Arial" w:cs="Arial"/>
        </w:rPr>
        <w:t>AICc</w:t>
      </w:r>
      <w:proofErr w:type="spellEnd"/>
      <w:r w:rsidRPr="002A426F">
        <w:rPr>
          <w:rFonts w:ascii="Arial" w:hAnsi="Arial" w:cs="Arial"/>
        </w:rPr>
        <w:t xml:space="preserve"> más bajo y </w:t>
      </w:r>
      <w:proofErr w:type="gramStart"/>
      <w:r w:rsidRPr="002A426F">
        <w:rPr>
          <w:rFonts w:ascii="Arial" w:hAnsi="Arial" w:cs="Arial"/>
        </w:rPr>
        <w:t xml:space="preserve">el </w:t>
      </w:r>
      <w:r w:rsidRPr="002A426F">
        <w:rPr>
          <w:rStyle w:val="katex-mathml"/>
          <w:rFonts w:ascii="Arial" w:hAnsi="Arial" w:cs="Arial"/>
        </w:rPr>
        <w:t xml:space="preserve"> R</w:t>
      </w:r>
      <w:proofErr w:type="gramEnd"/>
      <w:r w:rsidRPr="002A426F">
        <w:rPr>
          <w:rStyle w:val="mord"/>
          <w:rFonts w:ascii="Arial" w:hAnsi="Arial" w:cs="Arial"/>
          <w:vertAlign w:val="superscript"/>
        </w:rPr>
        <w:t>2</w:t>
      </w:r>
      <w:r w:rsidRPr="002A426F">
        <w:rPr>
          <w:rFonts w:ascii="Arial" w:hAnsi="Arial" w:cs="Arial"/>
        </w:rPr>
        <w:t xml:space="preserve"> más alto. Este modelo captura la naturaleza no lineal del crecimiento forestal, donde la tasa de acumulación disminuye a medida que el bosque </w:t>
      </w:r>
      <w:r w:rsidR="003238BE" w:rsidRPr="002A426F">
        <w:rPr>
          <w:rFonts w:ascii="Arial" w:hAnsi="Arial" w:cs="Arial"/>
        </w:rPr>
        <w:t>madura.</w:t>
      </w:r>
    </w:p>
    <w:p w14:paraId="0C782F60" w14:textId="77777777" w:rsidR="00115B87"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eastAsia="es-MX"/>
        </w:rPr>
        <w:pict w14:anchorId="0F2346CD">
          <v:rect id="_x0000_i1029" alt="" style="width:468pt;height:.05pt;mso-width-percent:0;mso-height-percent:0;mso-width-percent:0;mso-height-percent:0" o:hralign="center" o:hrstd="t" o:hr="t" fillcolor="#a0a0a0" stroked="f"/>
        </w:pict>
      </w:r>
    </w:p>
    <w:p w14:paraId="79BE370F" w14:textId="77777777"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3. Datos Complementarios de Barro Colorado Island (BCI)</w:t>
      </w:r>
    </w:p>
    <w:p w14:paraId="11533BB4" w14:textId="77777777" w:rsidR="00115B87" w:rsidRPr="002A426F" w:rsidRDefault="00115B87" w:rsidP="002A426F">
      <w:pPr>
        <w:numPr>
          <w:ilvl w:val="0"/>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Biomasa aérea y productividad primaria neta (NPP)</w:t>
      </w:r>
      <w:r w:rsidRPr="002A426F">
        <w:rPr>
          <w:rFonts w:ascii="Arial" w:eastAsia="Times New Roman" w:hAnsi="Arial" w:cs="Arial"/>
          <w:sz w:val="24"/>
          <w:szCs w:val="24"/>
          <w:lang w:eastAsia="es-MX"/>
        </w:rPr>
        <w:t>:</w:t>
      </w:r>
    </w:p>
    <w:p w14:paraId="4126289B" w14:textId="77777777" w:rsidR="00115B87" w:rsidRPr="002A426F" w:rsidRDefault="00115B87" w:rsidP="002A426F">
      <w:pPr>
        <w:numPr>
          <w:ilvl w:val="1"/>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Biomasa aérea promedio: 27,425 g/m² (~274 Mg/ha).</w:t>
      </w:r>
    </w:p>
    <w:p w14:paraId="6FF08F55" w14:textId="5E29E362" w:rsidR="00115B87" w:rsidRPr="002A426F" w:rsidRDefault="00115B87" w:rsidP="002A426F">
      <w:pPr>
        <w:numPr>
          <w:ilvl w:val="1"/>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NPP bruto: 1,800 g/m²/año (~18 Mg C/ha/año), incluyendo hojarasca, ramas y producción neta de madera.</w:t>
      </w:r>
    </w:p>
    <w:p w14:paraId="7AB7A597" w14:textId="77777777" w:rsidR="00115B87" w:rsidRPr="002A426F" w:rsidRDefault="00115B87" w:rsidP="002A426F">
      <w:pPr>
        <w:numPr>
          <w:ilvl w:val="0"/>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Factores que afectan el crecimiento en bosques maduros</w:t>
      </w:r>
      <w:r w:rsidRPr="002A426F">
        <w:rPr>
          <w:rFonts w:ascii="Arial" w:eastAsia="Times New Roman" w:hAnsi="Arial" w:cs="Arial"/>
          <w:sz w:val="24"/>
          <w:szCs w:val="24"/>
          <w:lang w:eastAsia="es-MX"/>
        </w:rPr>
        <w:t>:</w:t>
      </w:r>
    </w:p>
    <w:p w14:paraId="7258797B" w14:textId="4444B225" w:rsidR="00115B87" w:rsidRPr="002A426F" w:rsidRDefault="00115B87" w:rsidP="002A426F">
      <w:pPr>
        <w:numPr>
          <w:ilvl w:val="1"/>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Mortalidad de árboles grandes: Se reporta una tasa del 2–3% anual, lo que reduce la acumulación net.</w:t>
      </w:r>
    </w:p>
    <w:p w14:paraId="4739459D" w14:textId="77777777" w:rsidR="00115B87" w:rsidRPr="002A426F" w:rsidRDefault="00115B87" w:rsidP="002A426F">
      <w:pPr>
        <w:numPr>
          <w:ilvl w:val="1"/>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Contribución de la madera muerta y hojarasca: Una proporción significativa del NPP bruto no contribuye a la biomasa aérea permanente.</w:t>
      </w:r>
    </w:p>
    <w:p w14:paraId="7B308175" w14:textId="77777777" w:rsidR="00115B87" w:rsidRPr="002A426F" w:rsidRDefault="00115B87" w:rsidP="002A426F">
      <w:pPr>
        <w:numPr>
          <w:ilvl w:val="0"/>
          <w:numId w:val="2"/>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Variabilidad por topografía</w:t>
      </w:r>
      <w:r w:rsidRPr="002A426F">
        <w:rPr>
          <w:rFonts w:ascii="Arial" w:eastAsia="Times New Roman" w:hAnsi="Arial" w:cs="Arial"/>
          <w:sz w:val="24"/>
          <w:szCs w:val="24"/>
          <w:lang w:eastAsia="es-MX"/>
        </w:rPr>
        <w:t>:</w:t>
      </w:r>
    </w:p>
    <w:p w14:paraId="0C7456DB" w14:textId="77777777" w:rsidR="005318FE" w:rsidRPr="002A426F" w:rsidRDefault="00115B87" w:rsidP="002A426F">
      <w:pPr>
        <w:spacing w:before="100" w:beforeAutospacing="1" w:after="100" w:afterAutospacing="1" w:line="360" w:lineRule="auto"/>
        <w:ind w:left="1440"/>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Estudios de Mascaro et al. (2011) destacan que la biomasa aérea varía según pendientes y tipo de suelo, con una desviación estándar de 17 Mg C/ha para zonas similares</w:t>
      </w:r>
      <w:r w:rsidR="005318FE" w:rsidRPr="002A426F">
        <w:rPr>
          <w:rFonts w:ascii="Arial" w:eastAsia="Times New Roman" w:hAnsi="Arial" w:cs="Arial"/>
          <w:sz w:val="24"/>
          <w:szCs w:val="24"/>
          <w:lang w:eastAsia="es-MX"/>
        </w:rPr>
        <w:t>.</w:t>
      </w:r>
    </w:p>
    <w:p w14:paraId="0EE35527" w14:textId="50CC6B79" w:rsidR="00115B87" w:rsidRDefault="00115B87" w:rsidP="00057B35">
      <w:pPr>
        <w:spacing w:before="100" w:beforeAutospacing="1" w:after="100" w:afterAutospacing="1" w:line="360" w:lineRule="auto"/>
        <w:ind w:left="1440"/>
        <w:jc w:val="both"/>
        <w:rPr>
          <w:rFonts w:ascii="Arial" w:eastAsia="Times New Roman" w:hAnsi="Arial" w:cs="Arial"/>
          <w:sz w:val="24"/>
          <w:szCs w:val="24"/>
          <w:lang w:eastAsia="es-MX"/>
        </w:rPr>
      </w:pPr>
    </w:p>
    <w:p w14:paraId="4D43F373" w14:textId="42DF599F" w:rsidR="00057B35" w:rsidRDefault="00057B35" w:rsidP="00057B35">
      <w:pPr>
        <w:spacing w:before="100" w:beforeAutospacing="1" w:after="100" w:afterAutospacing="1" w:line="360" w:lineRule="auto"/>
        <w:ind w:left="1440"/>
        <w:jc w:val="both"/>
        <w:rPr>
          <w:rFonts w:ascii="Arial" w:eastAsia="Times New Roman" w:hAnsi="Arial" w:cs="Arial"/>
          <w:sz w:val="24"/>
          <w:szCs w:val="24"/>
          <w:lang w:eastAsia="es-MX"/>
        </w:rPr>
      </w:pPr>
    </w:p>
    <w:p w14:paraId="0D7DF03F" w14:textId="33765F4E" w:rsidR="00057B35" w:rsidRDefault="00057B35" w:rsidP="00057B35">
      <w:pPr>
        <w:spacing w:before="100" w:beforeAutospacing="1" w:after="100" w:afterAutospacing="1" w:line="360" w:lineRule="auto"/>
        <w:ind w:left="1440"/>
        <w:jc w:val="both"/>
        <w:rPr>
          <w:rFonts w:ascii="Arial" w:eastAsia="Times New Roman" w:hAnsi="Arial" w:cs="Arial"/>
          <w:sz w:val="24"/>
          <w:szCs w:val="24"/>
          <w:lang w:eastAsia="es-MX"/>
        </w:rPr>
      </w:pPr>
    </w:p>
    <w:p w14:paraId="5F32F293" w14:textId="4090D6EE" w:rsidR="00057B35" w:rsidRDefault="00057B35" w:rsidP="00057B35">
      <w:pPr>
        <w:spacing w:before="100" w:beforeAutospacing="1" w:after="100" w:afterAutospacing="1" w:line="360" w:lineRule="auto"/>
        <w:ind w:left="1440"/>
        <w:jc w:val="both"/>
        <w:rPr>
          <w:rFonts w:ascii="Arial" w:eastAsia="Times New Roman" w:hAnsi="Arial" w:cs="Arial"/>
          <w:sz w:val="24"/>
          <w:szCs w:val="24"/>
          <w:lang w:eastAsia="es-MX"/>
        </w:rPr>
      </w:pPr>
    </w:p>
    <w:p w14:paraId="0F924706" w14:textId="77777777" w:rsidR="00057B35" w:rsidRPr="002A426F" w:rsidRDefault="00057B35" w:rsidP="00057B35">
      <w:pPr>
        <w:spacing w:before="100" w:beforeAutospacing="1" w:after="100" w:afterAutospacing="1" w:line="360" w:lineRule="auto"/>
        <w:ind w:left="1440"/>
        <w:jc w:val="both"/>
        <w:rPr>
          <w:rFonts w:ascii="Arial" w:eastAsia="Times New Roman" w:hAnsi="Arial" w:cs="Arial"/>
          <w:sz w:val="24"/>
          <w:szCs w:val="24"/>
          <w:lang w:eastAsia="es-MX"/>
        </w:rPr>
      </w:pPr>
    </w:p>
    <w:p w14:paraId="42465F28" w14:textId="77777777" w:rsidR="00115B87"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eastAsia="es-MX"/>
        </w:rPr>
        <w:lastRenderedPageBreak/>
        <w:pict w14:anchorId="575FD680">
          <v:rect id="_x0000_i1030" alt="" style="width:468pt;height:.05pt;mso-width-percent:0;mso-height-percent:0;mso-width-percent:0;mso-height-percent:0" o:hralign="center" o:hrstd="t" o:hr="t" fillcolor="#a0a0a0" stroked="f"/>
        </w:pict>
      </w:r>
    </w:p>
    <w:p w14:paraId="20BD5EE5" w14:textId="00177063"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4. Referencias Comparativas de la Literatura</w:t>
      </w:r>
    </w:p>
    <w:p w14:paraId="1BEE371C" w14:textId="77777777" w:rsidR="00115B87" w:rsidRPr="002A426F" w:rsidRDefault="00115B87" w:rsidP="002A426F">
      <w:pPr>
        <w:numPr>
          <w:ilvl w:val="0"/>
          <w:numId w:val="3"/>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Mascaro et al. (2011)</w:t>
      </w:r>
      <w:r w:rsidRPr="002A426F">
        <w:rPr>
          <w:rFonts w:ascii="Arial" w:eastAsia="Times New Roman" w:hAnsi="Arial" w:cs="Arial"/>
          <w:sz w:val="24"/>
          <w:szCs w:val="24"/>
          <w:lang w:eastAsia="es-MX"/>
        </w:rPr>
        <w:t xml:space="preserve">: </w:t>
      </w:r>
    </w:p>
    <w:p w14:paraId="1CC4DE54" w14:textId="69247A80" w:rsidR="00115B87" w:rsidRPr="002A426F" w:rsidRDefault="00115B87" w:rsidP="002A426F">
      <w:pPr>
        <w:numPr>
          <w:ilvl w:val="1"/>
          <w:numId w:val="3"/>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Tasa de crecimiento neto estimada entre </w:t>
      </w:r>
      <w:r w:rsidRPr="002A426F">
        <w:rPr>
          <w:rFonts w:ascii="Arial" w:eastAsia="Times New Roman" w:hAnsi="Arial" w:cs="Arial"/>
          <w:b/>
          <w:bCs/>
          <w:sz w:val="24"/>
          <w:szCs w:val="24"/>
          <w:lang w:eastAsia="es-MX"/>
        </w:rPr>
        <w:t>0.5 y 1.0 Mg C/ha/año</w:t>
      </w:r>
      <w:r w:rsidRPr="002A426F">
        <w:rPr>
          <w:rFonts w:ascii="Arial" w:eastAsia="Times New Roman" w:hAnsi="Arial" w:cs="Arial"/>
          <w:sz w:val="24"/>
          <w:szCs w:val="24"/>
          <w:lang w:eastAsia="es-MX"/>
        </w:rPr>
        <w:t>, dependiendo de las condiciones locales.</w:t>
      </w:r>
    </w:p>
    <w:p w14:paraId="4791F5FC" w14:textId="77777777" w:rsidR="00115B87" w:rsidRPr="002A426F" w:rsidRDefault="00115B87" w:rsidP="002A426F">
      <w:pPr>
        <w:numPr>
          <w:ilvl w:val="0"/>
          <w:numId w:val="3"/>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Chave et al. (2003)</w:t>
      </w:r>
      <w:r w:rsidRPr="002A426F">
        <w:rPr>
          <w:rFonts w:ascii="Arial" w:eastAsia="Times New Roman" w:hAnsi="Arial" w:cs="Arial"/>
          <w:sz w:val="24"/>
          <w:szCs w:val="24"/>
          <w:lang w:eastAsia="es-MX"/>
        </w:rPr>
        <w:t xml:space="preserve">: </w:t>
      </w:r>
    </w:p>
    <w:p w14:paraId="4596AA99" w14:textId="73201370" w:rsidR="00115B87" w:rsidRPr="002A426F" w:rsidRDefault="00115B87" w:rsidP="002A426F">
      <w:pPr>
        <w:numPr>
          <w:ilvl w:val="1"/>
          <w:numId w:val="3"/>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Aplican ecuaciones alométricas y consideran densidad de madera, estimando una tasa similar a </w:t>
      </w:r>
      <w:r w:rsidRPr="002A426F">
        <w:rPr>
          <w:rFonts w:ascii="Arial" w:eastAsia="Times New Roman" w:hAnsi="Arial" w:cs="Arial"/>
          <w:b/>
          <w:bCs/>
          <w:sz w:val="24"/>
          <w:szCs w:val="24"/>
          <w:lang w:eastAsia="es-MX"/>
        </w:rPr>
        <w:t>0.5 Mg C/ha/año</w:t>
      </w:r>
      <w:r w:rsidRPr="002A426F">
        <w:rPr>
          <w:rFonts w:ascii="Arial" w:eastAsia="Times New Roman" w:hAnsi="Arial" w:cs="Arial"/>
          <w:sz w:val="24"/>
          <w:szCs w:val="24"/>
          <w:lang w:eastAsia="es-MX"/>
        </w:rPr>
        <w:t xml:space="preserve"> para bosques maduros.</w:t>
      </w:r>
    </w:p>
    <w:p w14:paraId="3096AF24" w14:textId="1FC9D0DF" w:rsidR="009708FD" w:rsidRPr="002A426F" w:rsidRDefault="009708FD" w:rsidP="002A426F">
      <w:pPr>
        <w:spacing w:before="100" w:beforeAutospacing="1" w:after="100" w:afterAutospacing="1" w:line="360" w:lineRule="auto"/>
        <w:jc w:val="both"/>
        <w:rPr>
          <w:rFonts w:ascii="Arial" w:eastAsia="Times New Roman" w:hAnsi="Arial" w:cs="Arial"/>
          <w:sz w:val="24"/>
          <w:szCs w:val="24"/>
          <w:lang w:eastAsia="es-MX"/>
        </w:rPr>
      </w:pPr>
    </w:p>
    <w:p w14:paraId="1C5EB7DB" w14:textId="77777777" w:rsidR="009708FD" w:rsidRPr="002A426F" w:rsidRDefault="009708FD" w:rsidP="002A426F">
      <w:pPr>
        <w:spacing w:before="100" w:beforeAutospacing="1" w:after="100" w:afterAutospacing="1" w:line="360" w:lineRule="auto"/>
        <w:jc w:val="both"/>
        <w:rPr>
          <w:rFonts w:ascii="Arial" w:eastAsia="Times New Roman" w:hAnsi="Arial" w:cs="Arial"/>
          <w:sz w:val="24"/>
          <w:szCs w:val="24"/>
          <w:lang w:eastAsia="es-MX"/>
        </w:rPr>
      </w:pPr>
    </w:p>
    <w:p w14:paraId="270BBC96" w14:textId="1D34ADE4" w:rsidR="00115B87"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eastAsia="es-MX"/>
        </w:rPr>
        <w:pict w14:anchorId="12B4D6E7">
          <v:rect id="_x0000_i1031" alt="" style="width:468pt;height:.05pt;mso-width-percent:0;mso-height-percent:0;mso-width-percent:0;mso-height-percent:0" o:hralign="center" o:hrstd="t" o:hr="t" fillcolor="#a0a0a0" stroked="f"/>
        </w:pict>
      </w:r>
    </w:p>
    <w:p w14:paraId="084E93BF" w14:textId="1B875512"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5. Análisis.</w:t>
      </w:r>
    </w:p>
    <w:p w14:paraId="50F06F12" w14:textId="63718E75" w:rsidR="00115B87" w:rsidRPr="002A426F" w:rsidRDefault="0000474C"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noProof/>
          <w:sz w:val="24"/>
          <w:szCs w:val="24"/>
          <w:lang w:eastAsia="es-MX"/>
        </w:rPr>
        <w:drawing>
          <wp:anchor distT="0" distB="0" distL="114300" distR="114300" simplePos="0" relativeHeight="251658240" behindDoc="1" locked="0" layoutInCell="1" allowOverlap="1" wp14:anchorId="7107C73D" wp14:editId="4E610AD2">
            <wp:simplePos x="0" y="0"/>
            <wp:positionH relativeFrom="margin">
              <wp:posOffset>126199</wp:posOffset>
            </wp:positionH>
            <wp:positionV relativeFrom="paragraph">
              <wp:posOffset>58778</wp:posOffset>
            </wp:positionV>
            <wp:extent cx="5565770" cy="3314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5770" cy="3314700"/>
                    </a:xfrm>
                    <a:prstGeom prst="rect">
                      <a:avLst/>
                    </a:prstGeom>
                    <a:noFill/>
                  </pic:spPr>
                </pic:pic>
              </a:graphicData>
            </a:graphic>
            <wp14:sizeRelH relativeFrom="page">
              <wp14:pctWidth>0</wp14:pctWidth>
            </wp14:sizeRelH>
            <wp14:sizeRelV relativeFrom="page">
              <wp14:pctHeight>0</wp14:pctHeight>
            </wp14:sizeRelV>
          </wp:anchor>
        </w:drawing>
      </w:r>
    </w:p>
    <w:p w14:paraId="21E0F445" w14:textId="2429245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1A0A41CA" w14:textId="672BCD10"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5E1125AE" w14:textId="3DBBA9E5"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5D9DF09A" w14:textId="0F242355"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786C301E" w14:textId="697EF099"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45E1079B" w14:textId="64ED9FF8"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7BA28A59" w14:textId="77777777" w:rsidR="009708FD" w:rsidRPr="002A426F" w:rsidRDefault="009708FD" w:rsidP="002A426F">
      <w:pPr>
        <w:spacing w:before="100" w:beforeAutospacing="1" w:after="100" w:afterAutospacing="1" w:line="360" w:lineRule="auto"/>
        <w:jc w:val="both"/>
        <w:rPr>
          <w:rFonts w:ascii="Arial" w:eastAsia="Times New Roman" w:hAnsi="Arial" w:cs="Arial"/>
          <w:sz w:val="24"/>
          <w:szCs w:val="24"/>
          <w:lang w:eastAsia="es-MX"/>
        </w:rPr>
      </w:pPr>
    </w:p>
    <w:p w14:paraId="45340376" w14:textId="77777777" w:rsidR="005318FE" w:rsidRPr="002A426F" w:rsidRDefault="0000474C"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lastRenderedPageBreak/>
        <w:t xml:space="preserve">En esta grafica poder observar los valores disponibles para tasas de crecimientos de bosques maduros en Panamá, según estudios locales como el de Hall et al., Barro </w:t>
      </w:r>
      <w:r w:rsidR="005318FE" w:rsidRPr="002A426F">
        <w:rPr>
          <w:rFonts w:ascii="Arial" w:eastAsia="Times New Roman" w:hAnsi="Arial" w:cs="Arial"/>
          <w:sz w:val="24"/>
          <w:szCs w:val="24"/>
          <w:lang w:eastAsia="es-MX"/>
        </w:rPr>
        <w:t>Colorado</w:t>
      </w:r>
      <w:r w:rsidR="00115B87" w:rsidRPr="002A426F">
        <w:rPr>
          <w:rFonts w:ascii="Arial" w:eastAsia="Times New Roman" w:hAnsi="Arial" w:cs="Arial"/>
          <w:sz w:val="24"/>
          <w:szCs w:val="24"/>
          <w:lang w:eastAsia="es-MX"/>
        </w:rPr>
        <w:t xml:space="preserve"> </w:t>
      </w:r>
    </w:p>
    <w:p w14:paraId="63C13F34" w14:textId="7831A0C4" w:rsidR="00115B87" w:rsidRPr="002A426F" w:rsidRDefault="005318FE" w:rsidP="002A426F">
      <w:p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A </w:t>
      </w:r>
      <w:r w:rsidR="00115B87" w:rsidRPr="002A426F">
        <w:rPr>
          <w:rFonts w:ascii="Arial" w:eastAsia="Times New Roman" w:hAnsi="Arial" w:cs="Arial"/>
          <w:sz w:val="24"/>
          <w:szCs w:val="24"/>
          <w:lang w:eastAsia="es-MX"/>
        </w:rPr>
        <w:t xml:space="preserve">continuación, la tabla que compara los valores reportados o estimados por las diferentes fuentes sobre la </w:t>
      </w:r>
      <w:r w:rsidR="00115B87" w:rsidRPr="002A426F">
        <w:rPr>
          <w:rFonts w:ascii="Arial" w:eastAsia="Times New Roman" w:hAnsi="Arial" w:cs="Arial"/>
          <w:b/>
          <w:bCs/>
          <w:sz w:val="24"/>
          <w:szCs w:val="24"/>
          <w:lang w:eastAsia="es-MX"/>
        </w:rPr>
        <w:t>tasa de crecimiento de carbono en bosques maduros (&gt;100 años)</w:t>
      </w:r>
      <w:r w:rsidR="00115B87" w:rsidRPr="002A426F">
        <w:rPr>
          <w:rFonts w:ascii="Arial" w:eastAsia="Times New Roman" w:hAnsi="Arial" w:cs="Arial"/>
          <w:sz w:val="24"/>
          <w:szCs w:val="24"/>
          <w:lang w:eastAsia="es-MX"/>
        </w:rPr>
        <w:t>:</w:t>
      </w:r>
    </w:p>
    <w:p w14:paraId="07A2AAF3" w14:textId="0F774AAB" w:rsidR="00115B87" w:rsidRPr="002A426F" w:rsidRDefault="00115B87" w:rsidP="002A426F">
      <w:pPr>
        <w:spacing w:after="0" w:line="360" w:lineRule="auto"/>
        <w:jc w:val="both"/>
        <w:rPr>
          <w:rFonts w:ascii="Arial" w:eastAsia="Times New Roman" w:hAnsi="Arial" w:cs="Arial"/>
          <w:sz w:val="24"/>
          <w:szCs w:val="24"/>
          <w:lang w:eastAsia="es-MX"/>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50"/>
        <w:gridCol w:w="1943"/>
        <w:gridCol w:w="1948"/>
        <w:gridCol w:w="4009"/>
      </w:tblGrid>
      <w:tr w:rsidR="00115B87" w:rsidRPr="002A426F" w14:paraId="7259C726" w14:textId="77777777" w:rsidTr="00115B87">
        <w:trPr>
          <w:tblHeader/>
          <w:tblCellSpacing w:w="15" w:type="dxa"/>
        </w:trPr>
        <w:tc>
          <w:tcPr>
            <w:tcW w:w="0" w:type="auto"/>
            <w:vAlign w:val="center"/>
            <w:hideMark/>
          </w:tcPr>
          <w:p w14:paraId="0684E5D3" w14:textId="77777777" w:rsidR="00115B87" w:rsidRPr="002A426F" w:rsidRDefault="00115B87" w:rsidP="002A426F">
            <w:pPr>
              <w:spacing w:after="0" w:line="360" w:lineRule="auto"/>
              <w:jc w:val="both"/>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Fuente</w:t>
            </w:r>
          </w:p>
        </w:tc>
        <w:tc>
          <w:tcPr>
            <w:tcW w:w="0" w:type="auto"/>
            <w:vAlign w:val="center"/>
            <w:hideMark/>
          </w:tcPr>
          <w:p w14:paraId="33719650" w14:textId="085D814C" w:rsidR="00115B87" w:rsidRPr="002A426F" w:rsidRDefault="00115B87" w:rsidP="002A426F">
            <w:pPr>
              <w:spacing w:after="0" w:line="360" w:lineRule="auto"/>
              <w:jc w:val="both"/>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 xml:space="preserve">Tasa de Crecimiento </w:t>
            </w:r>
            <w:r w:rsidR="0039426D" w:rsidRPr="002A426F">
              <w:rPr>
                <w:rFonts w:ascii="Arial" w:eastAsia="Times New Roman" w:hAnsi="Arial" w:cs="Arial"/>
                <w:b/>
                <w:bCs/>
                <w:sz w:val="24"/>
                <w:szCs w:val="24"/>
                <w:lang w:eastAsia="es-MX"/>
              </w:rPr>
              <w:t>Net</w:t>
            </w:r>
            <w:r w:rsidR="00E37456" w:rsidRPr="002A426F">
              <w:rPr>
                <w:rFonts w:ascii="Arial" w:eastAsia="Times New Roman" w:hAnsi="Arial" w:cs="Arial"/>
                <w:b/>
                <w:bCs/>
                <w:sz w:val="24"/>
                <w:szCs w:val="24"/>
                <w:lang w:eastAsia="es-MX"/>
              </w:rPr>
              <w:t>a</w:t>
            </w:r>
            <w:r w:rsidR="0039426D" w:rsidRPr="002A426F">
              <w:rPr>
                <w:rStyle w:val="Refdenotaalpie"/>
                <w:rFonts w:ascii="Arial" w:eastAsia="Times New Roman" w:hAnsi="Arial" w:cs="Arial"/>
                <w:b/>
                <w:bCs/>
                <w:sz w:val="24"/>
                <w:szCs w:val="24"/>
                <w:lang w:eastAsia="es-MX"/>
              </w:rPr>
              <w:footnoteReference w:id="1"/>
            </w:r>
            <w:r w:rsidR="0039426D" w:rsidRPr="002A426F">
              <w:rPr>
                <w:rFonts w:ascii="Arial" w:eastAsia="Times New Roman" w:hAnsi="Arial" w:cs="Arial"/>
                <w:b/>
                <w:bCs/>
                <w:sz w:val="24"/>
                <w:szCs w:val="24"/>
                <w:lang w:eastAsia="es-MX"/>
              </w:rPr>
              <w:t xml:space="preserve"> </w:t>
            </w:r>
            <w:r w:rsidRPr="002A426F">
              <w:rPr>
                <w:rFonts w:ascii="Arial" w:eastAsia="Times New Roman" w:hAnsi="Arial" w:cs="Arial"/>
                <w:b/>
                <w:bCs/>
                <w:sz w:val="24"/>
                <w:szCs w:val="24"/>
                <w:lang w:eastAsia="es-MX"/>
              </w:rPr>
              <w:t>(Mg C/ha/año)</w:t>
            </w:r>
          </w:p>
        </w:tc>
        <w:tc>
          <w:tcPr>
            <w:tcW w:w="0" w:type="auto"/>
            <w:vAlign w:val="center"/>
            <w:hideMark/>
          </w:tcPr>
          <w:p w14:paraId="27A0398E" w14:textId="77777777" w:rsidR="00115B87" w:rsidRPr="002A426F" w:rsidRDefault="00115B87" w:rsidP="002A426F">
            <w:pPr>
              <w:spacing w:after="0" w:line="360" w:lineRule="auto"/>
              <w:jc w:val="both"/>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Incertidumbre (± Mg C/ha/año)</w:t>
            </w:r>
          </w:p>
        </w:tc>
        <w:tc>
          <w:tcPr>
            <w:tcW w:w="0" w:type="auto"/>
            <w:vAlign w:val="center"/>
            <w:hideMark/>
          </w:tcPr>
          <w:p w14:paraId="48CCC2CB" w14:textId="77777777" w:rsidR="00115B87" w:rsidRPr="002A426F" w:rsidRDefault="00115B87" w:rsidP="002A426F">
            <w:pPr>
              <w:spacing w:after="0" w:line="360" w:lineRule="auto"/>
              <w:jc w:val="both"/>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Observaciones</w:t>
            </w:r>
          </w:p>
        </w:tc>
      </w:tr>
      <w:tr w:rsidR="00115B87" w:rsidRPr="002A426F" w14:paraId="73039AAA" w14:textId="77777777" w:rsidTr="00115B87">
        <w:trPr>
          <w:tblCellSpacing w:w="15" w:type="dxa"/>
        </w:trPr>
        <w:tc>
          <w:tcPr>
            <w:tcW w:w="0" w:type="auto"/>
            <w:vAlign w:val="center"/>
            <w:hideMark/>
          </w:tcPr>
          <w:p w14:paraId="793A0219"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Hall et al. (2022)</w:t>
            </w:r>
          </w:p>
        </w:tc>
        <w:tc>
          <w:tcPr>
            <w:tcW w:w="0" w:type="auto"/>
            <w:vAlign w:val="center"/>
            <w:hideMark/>
          </w:tcPr>
          <w:p w14:paraId="416F7EAE"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0.5</w:t>
            </w:r>
          </w:p>
        </w:tc>
        <w:tc>
          <w:tcPr>
            <w:tcW w:w="0" w:type="auto"/>
            <w:vAlign w:val="center"/>
            <w:hideMark/>
          </w:tcPr>
          <w:p w14:paraId="6D5BADF4"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0.1</w:t>
            </w:r>
          </w:p>
        </w:tc>
        <w:tc>
          <w:tcPr>
            <w:tcW w:w="0" w:type="auto"/>
            <w:vAlign w:val="center"/>
            <w:hideMark/>
          </w:tcPr>
          <w:p w14:paraId="712D5430"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Basado en modelos de estabilización; considera el equilibrio dinámico en bosques maduros.</w:t>
            </w:r>
          </w:p>
        </w:tc>
      </w:tr>
      <w:tr w:rsidR="00115B87" w:rsidRPr="002A426F" w14:paraId="530D08FA" w14:textId="77777777" w:rsidTr="00115B87">
        <w:trPr>
          <w:tblCellSpacing w:w="15" w:type="dxa"/>
        </w:trPr>
        <w:tc>
          <w:tcPr>
            <w:tcW w:w="0" w:type="auto"/>
            <w:vAlign w:val="center"/>
            <w:hideMark/>
          </w:tcPr>
          <w:p w14:paraId="6C5154E1"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Barro Colorado (1969-1990)</w:t>
            </w:r>
          </w:p>
        </w:tc>
        <w:tc>
          <w:tcPr>
            <w:tcW w:w="0" w:type="auto"/>
            <w:vAlign w:val="center"/>
            <w:hideMark/>
          </w:tcPr>
          <w:p w14:paraId="073235F3" w14:textId="38218D32"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1.8 (NPP bruto)</w:t>
            </w:r>
          </w:p>
        </w:tc>
        <w:tc>
          <w:tcPr>
            <w:tcW w:w="0" w:type="auto"/>
            <w:vAlign w:val="center"/>
            <w:hideMark/>
          </w:tcPr>
          <w:p w14:paraId="2C4C68A5"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0.5</w:t>
            </w:r>
          </w:p>
        </w:tc>
        <w:tc>
          <w:tcPr>
            <w:tcW w:w="0" w:type="auto"/>
            <w:vAlign w:val="center"/>
            <w:hideMark/>
          </w:tcPr>
          <w:p w14:paraId="0A5752B8"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NPP incluye componentes no permanentes (hojarasca, ramas); el crecimiento neto de biomasa aérea es menor.</w:t>
            </w:r>
          </w:p>
        </w:tc>
      </w:tr>
      <w:tr w:rsidR="00115B87" w:rsidRPr="002A426F" w14:paraId="0B06AC17" w14:textId="77777777" w:rsidTr="00115B87">
        <w:trPr>
          <w:tblCellSpacing w:w="15" w:type="dxa"/>
        </w:trPr>
        <w:tc>
          <w:tcPr>
            <w:tcW w:w="0" w:type="auto"/>
            <w:vAlign w:val="center"/>
            <w:hideMark/>
          </w:tcPr>
          <w:p w14:paraId="361E3823"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Mascaro et al. (2011)</w:t>
            </w:r>
          </w:p>
        </w:tc>
        <w:tc>
          <w:tcPr>
            <w:tcW w:w="0" w:type="auto"/>
            <w:vAlign w:val="center"/>
            <w:hideMark/>
          </w:tcPr>
          <w:p w14:paraId="405C5DF9"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0.75</w:t>
            </w:r>
          </w:p>
        </w:tc>
        <w:tc>
          <w:tcPr>
            <w:tcW w:w="0" w:type="auto"/>
            <w:vAlign w:val="center"/>
            <w:hideMark/>
          </w:tcPr>
          <w:p w14:paraId="328DE955"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0.2</w:t>
            </w:r>
          </w:p>
        </w:tc>
        <w:tc>
          <w:tcPr>
            <w:tcW w:w="0" w:type="auto"/>
            <w:vAlign w:val="center"/>
            <w:hideMark/>
          </w:tcPr>
          <w:p w14:paraId="093D2D7C"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Considera la variación en carbono aéreo por topografía y suelos en BCI; destaca el efecto de pendientes en la acumulación de carbono.</w:t>
            </w:r>
          </w:p>
        </w:tc>
      </w:tr>
      <w:tr w:rsidR="00115B87" w:rsidRPr="002A426F" w14:paraId="2084BFDF" w14:textId="77777777" w:rsidTr="00115B87">
        <w:trPr>
          <w:tblCellSpacing w:w="15" w:type="dxa"/>
        </w:trPr>
        <w:tc>
          <w:tcPr>
            <w:tcW w:w="0" w:type="auto"/>
            <w:vAlign w:val="center"/>
            <w:hideMark/>
          </w:tcPr>
          <w:p w14:paraId="1A04B11F"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b/>
                <w:bCs/>
                <w:sz w:val="24"/>
                <w:szCs w:val="24"/>
                <w:lang w:eastAsia="es-MX"/>
              </w:rPr>
              <w:t>Chave et al. (2003)</w:t>
            </w:r>
          </w:p>
        </w:tc>
        <w:tc>
          <w:tcPr>
            <w:tcW w:w="0" w:type="auto"/>
            <w:vAlign w:val="center"/>
            <w:hideMark/>
          </w:tcPr>
          <w:p w14:paraId="410B9FAB"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0.5</w:t>
            </w:r>
          </w:p>
        </w:tc>
        <w:tc>
          <w:tcPr>
            <w:tcW w:w="0" w:type="auto"/>
            <w:vAlign w:val="center"/>
            <w:hideMark/>
          </w:tcPr>
          <w:p w14:paraId="75F93FCE"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0.1</w:t>
            </w:r>
          </w:p>
        </w:tc>
        <w:tc>
          <w:tcPr>
            <w:tcW w:w="0" w:type="auto"/>
            <w:vAlign w:val="center"/>
            <w:hideMark/>
          </w:tcPr>
          <w:p w14:paraId="7611B61F" w14:textId="77777777" w:rsidR="00115B87" w:rsidRPr="002A426F" w:rsidRDefault="00115B87" w:rsidP="002A426F">
            <w:pPr>
              <w:spacing w:after="0"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Usa ecuaciones alométricas para calcular biomasa aérea; destaca la contribución de la densidad de madera y mortalidad neta en bosques tropicales maduros.</w:t>
            </w:r>
          </w:p>
        </w:tc>
      </w:tr>
    </w:tbl>
    <w:p w14:paraId="11F38A9F" w14:textId="77777777" w:rsidR="001E2B07" w:rsidRDefault="001E2B07" w:rsidP="002A426F">
      <w:pPr>
        <w:spacing w:before="100" w:beforeAutospacing="1" w:after="100" w:afterAutospacing="1" w:line="360" w:lineRule="auto"/>
        <w:jc w:val="both"/>
        <w:outlineLvl w:val="2"/>
        <w:rPr>
          <w:rFonts w:ascii="Arial" w:eastAsia="Times New Roman" w:hAnsi="Arial" w:cs="Arial"/>
          <w:b/>
          <w:bCs/>
          <w:sz w:val="24"/>
          <w:szCs w:val="24"/>
          <w:lang w:eastAsia="es-MX"/>
        </w:rPr>
      </w:pPr>
    </w:p>
    <w:p w14:paraId="3D30E9D6" w14:textId="77777777" w:rsidR="001E2B07" w:rsidRDefault="001E2B07" w:rsidP="002A426F">
      <w:pPr>
        <w:spacing w:before="100" w:beforeAutospacing="1" w:after="100" w:afterAutospacing="1" w:line="360" w:lineRule="auto"/>
        <w:jc w:val="both"/>
        <w:outlineLvl w:val="2"/>
        <w:rPr>
          <w:rFonts w:ascii="Arial" w:eastAsia="Times New Roman" w:hAnsi="Arial" w:cs="Arial"/>
          <w:b/>
          <w:bCs/>
          <w:sz w:val="24"/>
          <w:szCs w:val="24"/>
          <w:lang w:eastAsia="es-MX"/>
        </w:rPr>
      </w:pPr>
    </w:p>
    <w:p w14:paraId="6D5D7376" w14:textId="26648372" w:rsidR="00115B87" w:rsidRPr="002A426F" w:rsidRDefault="00057B35"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Interpretación</w:t>
      </w:r>
      <w:r w:rsidR="00115B87" w:rsidRPr="002A426F">
        <w:rPr>
          <w:rFonts w:ascii="Arial" w:eastAsia="Times New Roman" w:hAnsi="Arial" w:cs="Arial"/>
          <w:b/>
          <w:bCs/>
          <w:sz w:val="24"/>
          <w:szCs w:val="24"/>
          <w:lang w:eastAsia="es-MX"/>
        </w:rPr>
        <w:t xml:space="preserve"> de los datos </w:t>
      </w:r>
    </w:p>
    <w:p w14:paraId="011EDE4B" w14:textId="7777777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roofErr w:type="gramStart"/>
      <w:r w:rsidRPr="002A426F">
        <w:rPr>
          <w:rFonts w:ascii="Arial" w:eastAsia="Times New Roman" w:hAnsi="Arial" w:cs="Arial"/>
          <w:sz w:val="24"/>
          <w:szCs w:val="24"/>
          <w:lang w:eastAsia="es-MX"/>
        </w:rPr>
        <w:t xml:space="preserve">  </w:t>
      </w:r>
      <w:r w:rsidRPr="002A426F">
        <w:rPr>
          <w:rFonts w:ascii="Arial" w:eastAsia="Times New Roman" w:hAnsi="Arial" w:cs="Arial"/>
          <w:b/>
          <w:bCs/>
          <w:sz w:val="24"/>
          <w:szCs w:val="24"/>
          <w:lang w:eastAsia="es-MX"/>
        </w:rPr>
        <w:t>Hall</w:t>
      </w:r>
      <w:proofErr w:type="gramEnd"/>
      <w:r w:rsidRPr="002A426F">
        <w:rPr>
          <w:rFonts w:ascii="Arial" w:eastAsia="Times New Roman" w:hAnsi="Arial" w:cs="Arial"/>
          <w:b/>
          <w:bCs/>
          <w:sz w:val="24"/>
          <w:szCs w:val="24"/>
          <w:lang w:eastAsia="es-MX"/>
        </w:rPr>
        <w:t xml:space="preserve"> et al. (2022)</w:t>
      </w:r>
      <w:r w:rsidRPr="002A426F">
        <w:rPr>
          <w:rFonts w:ascii="Arial" w:eastAsia="Times New Roman" w:hAnsi="Arial" w:cs="Arial"/>
          <w:sz w:val="24"/>
          <w:szCs w:val="24"/>
          <w:lang w:eastAsia="es-MX"/>
        </w:rPr>
        <w:t>:</w:t>
      </w:r>
    </w:p>
    <w:p w14:paraId="18429E98" w14:textId="0D687A2F" w:rsidR="00115B87" w:rsidRPr="002A426F" w:rsidRDefault="00115B87" w:rsidP="002A426F">
      <w:pPr>
        <w:numPr>
          <w:ilvl w:val="0"/>
          <w:numId w:val="6"/>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La tasa de </w:t>
      </w:r>
      <w:r w:rsidRPr="002A426F">
        <w:rPr>
          <w:rFonts w:ascii="Arial" w:eastAsia="Times New Roman" w:hAnsi="Arial" w:cs="Arial"/>
          <w:b/>
          <w:bCs/>
          <w:sz w:val="24"/>
          <w:szCs w:val="24"/>
          <w:lang w:eastAsia="es-MX"/>
        </w:rPr>
        <w:t>0.5 Mg C/ha/año</w:t>
      </w:r>
      <w:r w:rsidRPr="002A426F">
        <w:rPr>
          <w:rFonts w:ascii="Arial" w:eastAsia="Times New Roman" w:hAnsi="Arial" w:cs="Arial"/>
          <w:sz w:val="24"/>
          <w:szCs w:val="24"/>
          <w:lang w:eastAsia="es-MX"/>
        </w:rPr>
        <w:t xml:space="preserve"> proviene de un modelo calibrado en Panamá, que refleja el equilibrio dinámico en bosques maduros, donde las ganancias por crecimiento son compensadas por las pérdidas por mortalidad y descomposición. Este valor es</w:t>
      </w:r>
      <w:r w:rsidR="003238BE">
        <w:rPr>
          <w:rFonts w:ascii="Arial" w:eastAsia="Times New Roman" w:hAnsi="Arial" w:cs="Arial"/>
          <w:sz w:val="24"/>
          <w:szCs w:val="24"/>
          <w:lang w:eastAsia="es-MX"/>
        </w:rPr>
        <w:t xml:space="preserve">ta dado en toneladas de carbono por hectáreas al año. Para los cálculos se utilizará </w:t>
      </w:r>
      <w:r w:rsidR="003238BE" w:rsidRPr="003238BE">
        <w:rPr>
          <w:rFonts w:ascii="Arial" w:eastAsia="Times New Roman" w:hAnsi="Arial" w:cs="Arial"/>
          <w:b/>
          <w:bCs/>
          <w:sz w:val="24"/>
          <w:szCs w:val="24"/>
          <w:lang w:eastAsia="es-MX"/>
        </w:rPr>
        <w:t xml:space="preserve">1 tonelada de materia seca por </w:t>
      </w:r>
      <w:proofErr w:type="spellStart"/>
      <w:r w:rsidR="003238BE" w:rsidRPr="003238BE">
        <w:rPr>
          <w:rFonts w:ascii="Arial" w:eastAsia="Times New Roman" w:hAnsi="Arial" w:cs="Arial"/>
          <w:b/>
          <w:bCs/>
          <w:sz w:val="24"/>
          <w:szCs w:val="24"/>
          <w:lang w:eastAsia="es-MX"/>
        </w:rPr>
        <w:t>hectarea</w:t>
      </w:r>
      <w:proofErr w:type="spellEnd"/>
      <w:r w:rsidR="003238BE" w:rsidRPr="003238BE">
        <w:rPr>
          <w:rFonts w:ascii="Arial" w:eastAsia="Times New Roman" w:hAnsi="Arial" w:cs="Arial"/>
          <w:b/>
          <w:bCs/>
          <w:sz w:val="24"/>
          <w:szCs w:val="24"/>
          <w:lang w:eastAsia="es-MX"/>
        </w:rPr>
        <w:t xml:space="preserve"> al año</w:t>
      </w:r>
      <w:r w:rsidR="003238BE">
        <w:rPr>
          <w:rFonts w:ascii="Arial" w:eastAsia="Times New Roman" w:hAnsi="Arial" w:cs="Arial"/>
          <w:sz w:val="24"/>
          <w:szCs w:val="24"/>
          <w:lang w:eastAsia="es-MX"/>
        </w:rPr>
        <w:t xml:space="preserve"> para poder utilizarlos en las </w:t>
      </w:r>
      <w:proofErr w:type="spellStart"/>
      <w:r w:rsidR="003238BE">
        <w:rPr>
          <w:rFonts w:ascii="Arial" w:eastAsia="Times New Roman" w:hAnsi="Arial" w:cs="Arial"/>
          <w:sz w:val="24"/>
          <w:szCs w:val="24"/>
          <w:lang w:eastAsia="es-MX"/>
        </w:rPr>
        <w:t>formulas</w:t>
      </w:r>
      <w:proofErr w:type="spellEnd"/>
      <w:r w:rsidR="003238BE">
        <w:rPr>
          <w:rFonts w:ascii="Arial" w:eastAsia="Times New Roman" w:hAnsi="Arial" w:cs="Arial"/>
          <w:sz w:val="24"/>
          <w:szCs w:val="24"/>
          <w:lang w:eastAsia="es-MX"/>
        </w:rPr>
        <w:t>.</w:t>
      </w:r>
    </w:p>
    <w:p w14:paraId="4ECADB4D" w14:textId="7777777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roofErr w:type="gramStart"/>
      <w:r w:rsidRPr="002A426F">
        <w:rPr>
          <w:rFonts w:ascii="Arial" w:eastAsia="Times New Roman" w:hAnsi="Arial" w:cs="Arial"/>
          <w:sz w:val="24"/>
          <w:szCs w:val="24"/>
          <w:lang w:eastAsia="es-MX"/>
        </w:rPr>
        <w:t xml:space="preserve">  </w:t>
      </w:r>
      <w:r w:rsidRPr="002A426F">
        <w:rPr>
          <w:rFonts w:ascii="Arial" w:eastAsia="Times New Roman" w:hAnsi="Arial" w:cs="Arial"/>
          <w:b/>
          <w:bCs/>
          <w:sz w:val="24"/>
          <w:szCs w:val="24"/>
          <w:lang w:eastAsia="es-MX"/>
        </w:rPr>
        <w:t>Barro</w:t>
      </w:r>
      <w:proofErr w:type="gramEnd"/>
      <w:r w:rsidRPr="002A426F">
        <w:rPr>
          <w:rFonts w:ascii="Arial" w:eastAsia="Times New Roman" w:hAnsi="Arial" w:cs="Arial"/>
          <w:b/>
          <w:bCs/>
          <w:sz w:val="24"/>
          <w:szCs w:val="24"/>
          <w:lang w:eastAsia="es-MX"/>
        </w:rPr>
        <w:t xml:space="preserve"> Colorado (1969-1990)</w:t>
      </w:r>
      <w:r w:rsidRPr="002A426F">
        <w:rPr>
          <w:rFonts w:ascii="Arial" w:eastAsia="Times New Roman" w:hAnsi="Arial" w:cs="Arial"/>
          <w:sz w:val="24"/>
          <w:szCs w:val="24"/>
          <w:lang w:eastAsia="es-MX"/>
        </w:rPr>
        <w:t>:</w:t>
      </w:r>
    </w:p>
    <w:p w14:paraId="574BF326" w14:textId="78431710" w:rsidR="00115B87" w:rsidRPr="002A426F" w:rsidRDefault="00115B87" w:rsidP="002A426F">
      <w:pPr>
        <w:numPr>
          <w:ilvl w:val="0"/>
          <w:numId w:val="7"/>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El valor bruto de </w:t>
      </w:r>
      <w:r w:rsidRPr="002A426F">
        <w:rPr>
          <w:rFonts w:ascii="Arial" w:eastAsia="Times New Roman" w:hAnsi="Arial" w:cs="Arial"/>
          <w:b/>
          <w:bCs/>
          <w:sz w:val="24"/>
          <w:szCs w:val="24"/>
          <w:lang w:eastAsia="es-MX"/>
        </w:rPr>
        <w:t>1.8 Mg C/ha/año</w:t>
      </w:r>
      <w:r w:rsidRPr="002A426F">
        <w:rPr>
          <w:rFonts w:ascii="Arial" w:eastAsia="Times New Roman" w:hAnsi="Arial" w:cs="Arial"/>
          <w:sz w:val="24"/>
          <w:szCs w:val="24"/>
          <w:lang w:eastAsia="es-MX"/>
        </w:rPr>
        <w:t xml:space="preserve"> incluye la producción de biomasa no permanente (hojarasca y ramas), lo que </w:t>
      </w:r>
      <w:proofErr w:type="spellStart"/>
      <w:r w:rsidR="001E2B07">
        <w:rPr>
          <w:rFonts w:ascii="Arial" w:eastAsia="Times New Roman" w:hAnsi="Arial" w:cs="Arial"/>
          <w:sz w:val="24"/>
          <w:szCs w:val="24"/>
          <w:lang w:eastAsia="es-MX"/>
        </w:rPr>
        <w:t>incementa</w:t>
      </w:r>
      <w:proofErr w:type="spellEnd"/>
      <w:r w:rsidRPr="002A426F">
        <w:rPr>
          <w:rFonts w:ascii="Arial" w:eastAsia="Times New Roman" w:hAnsi="Arial" w:cs="Arial"/>
          <w:sz w:val="24"/>
          <w:szCs w:val="24"/>
          <w:lang w:eastAsia="es-MX"/>
        </w:rPr>
        <w:t xml:space="preserve"> la estimación respecto a la acumulación neta de biomasa aérea. Si se excluyen estos componentes, el valor se reduce y se acerca a las estimaciones de Hall et al.</w:t>
      </w:r>
    </w:p>
    <w:p w14:paraId="17BBD69E" w14:textId="7777777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roofErr w:type="gramStart"/>
      <w:r w:rsidRPr="002A426F">
        <w:rPr>
          <w:rFonts w:ascii="Arial" w:eastAsia="Times New Roman" w:hAnsi="Arial" w:cs="Arial"/>
          <w:sz w:val="24"/>
          <w:szCs w:val="24"/>
          <w:lang w:eastAsia="es-MX"/>
        </w:rPr>
        <w:t xml:space="preserve">  </w:t>
      </w:r>
      <w:r w:rsidRPr="002A426F">
        <w:rPr>
          <w:rFonts w:ascii="Arial" w:eastAsia="Times New Roman" w:hAnsi="Arial" w:cs="Arial"/>
          <w:b/>
          <w:bCs/>
          <w:sz w:val="24"/>
          <w:szCs w:val="24"/>
          <w:lang w:eastAsia="es-MX"/>
        </w:rPr>
        <w:t>Mascaro</w:t>
      </w:r>
      <w:proofErr w:type="gramEnd"/>
      <w:r w:rsidRPr="002A426F">
        <w:rPr>
          <w:rFonts w:ascii="Arial" w:eastAsia="Times New Roman" w:hAnsi="Arial" w:cs="Arial"/>
          <w:b/>
          <w:bCs/>
          <w:sz w:val="24"/>
          <w:szCs w:val="24"/>
          <w:lang w:eastAsia="es-MX"/>
        </w:rPr>
        <w:t xml:space="preserve"> et al. (2011)</w:t>
      </w:r>
      <w:r w:rsidRPr="002A426F">
        <w:rPr>
          <w:rFonts w:ascii="Arial" w:eastAsia="Times New Roman" w:hAnsi="Arial" w:cs="Arial"/>
          <w:sz w:val="24"/>
          <w:szCs w:val="24"/>
          <w:lang w:eastAsia="es-MX"/>
        </w:rPr>
        <w:t>:</w:t>
      </w:r>
    </w:p>
    <w:p w14:paraId="1C252EC3" w14:textId="77777777" w:rsidR="00115B87" w:rsidRPr="002A426F" w:rsidRDefault="00115B87" w:rsidP="002A426F">
      <w:pPr>
        <w:numPr>
          <w:ilvl w:val="0"/>
          <w:numId w:val="8"/>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El rango de </w:t>
      </w:r>
      <w:r w:rsidRPr="002A426F">
        <w:rPr>
          <w:rFonts w:ascii="Arial" w:eastAsia="Times New Roman" w:hAnsi="Arial" w:cs="Arial"/>
          <w:b/>
          <w:bCs/>
          <w:sz w:val="24"/>
          <w:szCs w:val="24"/>
          <w:lang w:eastAsia="es-MX"/>
        </w:rPr>
        <w:t>0.75 Mg C/ha/año</w:t>
      </w:r>
      <w:r w:rsidRPr="002A426F">
        <w:rPr>
          <w:rFonts w:ascii="Arial" w:eastAsia="Times New Roman" w:hAnsi="Arial" w:cs="Arial"/>
          <w:sz w:val="24"/>
          <w:szCs w:val="24"/>
          <w:lang w:eastAsia="es-MX"/>
        </w:rPr>
        <w:t xml:space="preserve"> incorpora variaciones espaciales, como la influencia de la pendiente y los tipos de suelo, que pueden aumentar o disminuir la tasa de acumulación de carbono. Este valor destaca la importancia de las condiciones locales en la dinámica del carbono.</w:t>
      </w:r>
    </w:p>
    <w:p w14:paraId="597FADA1" w14:textId="7777777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roofErr w:type="gramStart"/>
      <w:r w:rsidRPr="002A426F">
        <w:rPr>
          <w:rFonts w:ascii="Arial" w:eastAsia="Times New Roman" w:hAnsi="Arial" w:cs="Arial"/>
          <w:sz w:val="24"/>
          <w:szCs w:val="24"/>
          <w:lang w:eastAsia="es-MX"/>
        </w:rPr>
        <w:t xml:space="preserve">  </w:t>
      </w:r>
      <w:r w:rsidRPr="002A426F">
        <w:rPr>
          <w:rFonts w:ascii="Arial" w:eastAsia="Times New Roman" w:hAnsi="Arial" w:cs="Arial"/>
          <w:b/>
          <w:bCs/>
          <w:sz w:val="24"/>
          <w:szCs w:val="24"/>
          <w:lang w:eastAsia="es-MX"/>
        </w:rPr>
        <w:t>Chave</w:t>
      </w:r>
      <w:proofErr w:type="gramEnd"/>
      <w:r w:rsidRPr="002A426F">
        <w:rPr>
          <w:rFonts w:ascii="Arial" w:eastAsia="Times New Roman" w:hAnsi="Arial" w:cs="Arial"/>
          <w:b/>
          <w:bCs/>
          <w:sz w:val="24"/>
          <w:szCs w:val="24"/>
          <w:lang w:eastAsia="es-MX"/>
        </w:rPr>
        <w:t xml:space="preserve"> et al. (2003)</w:t>
      </w:r>
      <w:r w:rsidRPr="002A426F">
        <w:rPr>
          <w:rFonts w:ascii="Arial" w:eastAsia="Times New Roman" w:hAnsi="Arial" w:cs="Arial"/>
          <w:sz w:val="24"/>
          <w:szCs w:val="24"/>
          <w:lang w:eastAsia="es-MX"/>
        </w:rPr>
        <w:t>:</w:t>
      </w:r>
    </w:p>
    <w:p w14:paraId="1234DB93" w14:textId="77777777" w:rsidR="00115B87" w:rsidRPr="002A426F" w:rsidRDefault="00115B87" w:rsidP="002A426F">
      <w:pPr>
        <w:numPr>
          <w:ilvl w:val="0"/>
          <w:numId w:val="9"/>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Proporciona un valor de referencia de </w:t>
      </w:r>
      <w:r w:rsidRPr="002A426F">
        <w:rPr>
          <w:rFonts w:ascii="Arial" w:eastAsia="Times New Roman" w:hAnsi="Arial" w:cs="Arial"/>
          <w:b/>
          <w:bCs/>
          <w:sz w:val="24"/>
          <w:szCs w:val="24"/>
          <w:lang w:eastAsia="es-MX"/>
        </w:rPr>
        <w:t>0.5 Mg C/ha/año</w:t>
      </w:r>
      <w:r w:rsidRPr="002A426F">
        <w:rPr>
          <w:rFonts w:ascii="Arial" w:eastAsia="Times New Roman" w:hAnsi="Arial" w:cs="Arial"/>
          <w:sz w:val="24"/>
          <w:szCs w:val="24"/>
          <w:lang w:eastAsia="es-MX"/>
        </w:rPr>
        <w:t xml:space="preserve">, basado en ecuaciones alométricas específicas para bosques tropicales. Estas ecuaciones incluyen </w:t>
      </w:r>
      <w:r w:rsidRPr="002A426F">
        <w:rPr>
          <w:rFonts w:ascii="Arial" w:eastAsia="Times New Roman" w:hAnsi="Arial" w:cs="Arial"/>
          <w:sz w:val="24"/>
          <w:szCs w:val="24"/>
          <w:lang w:eastAsia="es-MX"/>
        </w:rPr>
        <w:lastRenderedPageBreak/>
        <w:t>factores como diámetro, altura de los árboles y densidad de la madera, lo que hace que el cálculo sea altamente preciso.</w:t>
      </w:r>
    </w:p>
    <w:p w14:paraId="10D840F7" w14:textId="77777777" w:rsidR="00115B87" w:rsidRPr="002A426F" w:rsidRDefault="00115B87" w:rsidP="002A426F">
      <w:pPr>
        <w:numPr>
          <w:ilvl w:val="0"/>
          <w:numId w:val="9"/>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Este estudio refuerza la validez de las estimaciones de Hall et al. al coincidir en el mismo rango para bosques maduros.</w:t>
      </w:r>
    </w:p>
    <w:p w14:paraId="3C711328" w14:textId="77777777" w:rsidR="00115B87" w:rsidRPr="002A426F" w:rsidRDefault="00115B87" w:rsidP="002A426F">
      <w:pPr>
        <w:spacing w:before="100" w:beforeAutospacing="1" w:after="100" w:afterAutospacing="1" w:line="360" w:lineRule="auto"/>
        <w:jc w:val="both"/>
        <w:rPr>
          <w:rFonts w:ascii="Arial" w:eastAsia="Times New Roman" w:hAnsi="Arial" w:cs="Arial"/>
          <w:sz w:val="24"/>
          <w:szCs w:val="24"/>
          <w:lang w:eastAsia="es-MX"/>
        </w:rPr>
      </w:pPr>
    </w:p>
    <w:p w14:paraId="5E9A1119" w14:textId="77777777" w:rsidR="00115B87" w:rsidRPr="002A426F" w:rsidRDefault="00351884" w:rsidP="002A426F">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eastAsia="es-MX"/>
        </w:rPr>
        <w:pict w14:anchorId="3EA50CB2">
          <v:rect id="_x0000_i1032" alt="" style="width:468pt;height:.05pt;mso-width-percent:0;mso-height-percent:0;mso-width-percent:0;mso-height-percent:0" o:hralign="center" o:hrstd="t" o:hr="t" fillcolor="#a0a0a0" stroked="f"/>
        </w:pict>
      </w:r>
    </w:p>
    <w:p w14:paraId="578EE76A" w14:textId="77777777" w:rsidR="00115B87" w:rsidRPr="002A426F" w:rsidRDefault="00115B87" w:rsidP="002A426F">
      <w:pPr>
        <w:spacing w:before="100" w:beforeAutospacing="1" w:after="100" w:afterAutospacing="1" w:line="360" w:lineRule="auto"/>
        <w:jc w:val="both"/>
        <w:outlineLvl w:val="2"/>
        <w:rPr>
          <w:rFonts w:ascii="Arial" w:eastAsia="Times New Roman" w:hAnsi="Arial" w:cs="Arial"/>
          <w:b/>
          <w:bCs/>
          <w:sz w:val="24"/>
          <w:szCs w:val="24"/>
          <w:lang w:eastAsia="es-MX"/>
        </w:rPr>
      </w:pPr>
      <w:r w:rsidRPr="002A426F">
        <w:rPr>
          <w:rFonts w:ascii="Arial" w:eastAsia="Times New Roman" w:hAnsi="Arial" w:cs="Arial"/>
          <w:b/>
          <w:bCs/>
          <w:sz w:val="24"/>
          <w:szCs w:val="24"/>
          <w:lang w:eastAsia="es-MX"/>
        </w:rPr>
        <w:t>Referencias Bibliográficas</w:t>
      </w:r>
    </w:p>
    <w:p w14:paraId="2050A69A" w14:textId="77777777" w:rsidR="00115B87" w:rsidRPr="002A426F" w:rsidRDefault="00115B87" w:rsidP="002A426F">
      <w:pPr>
        <w:numPr>
          <w:ilvl w:val="0"/>
          <w:numId w:val="5"/>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eastAsia="es-MX"/>
        </w:rPr>
        <w:t xml:space="preserve">Hall, J. S., Arneth, A., del Valle, J. I., et al. </w:t>
      </w:r>
      <w:r w:rsidRPr="002A426F">
        <w:rPr>
          <w:rFonts w:ascii="Arial" w:eastAsia="Times New Roman" w:hAnsi="Arial" w:cs="Arial"/>
          <w:i/>
          <w:iCs/>
          <w:sz w:val="24"/>
          <w:szCs w:val="24"/>
          <w:lang w:val="en-US" w:eastAsia="es-MX"/>
        </w:rPr>
        <w:t>Deforestation scenarios show the importance of secondary forest for meeting Panama’s carbon goals</w:t>
      </w:r>
      <w:r w:rsidRPr="002A426F">
        <w:rPr>
          <w:rFonts w:ascii="Arial" w:eastAsia="Times New Roman" w:hAnsi="Arial" w:cs="Arial"/>
          <w:sz w:val="24"/>
          <w:szCs w:val="24"/>
          <w:lang w:val="en-US" w:eastAsia="es-MX"/>
        </w:rPr>
        <w:t xml:space="preserve">. </w:t>
      </w:r>
      <w:r w:rsidRPr="002A426F">
        <w:rPr>
          <w:rFonts w:ascii="Arial" w:eastAsia="Times New Roman" w:hAnsi="Arial" w:cs="Arial"/>
          <w:sz w:val="24"/>
          <w:szCs w:val="24"/>
          <w:lang w:eastAsia="es-MX"/>
        </w:rPr>
        <w:t>Landscape Ecology, 2022.</w:t>
      </w:r>
    </w:p>
    <w:p w14:paraId="5114144C" w14:textId="77777777" w:rsidR="00115B87" w:rsidRPr="002A426F" w:rsidRDefault="00115B87" w:rsidP="002A426F">
      <w:pPr>
        <w:numPr>
          <w:ilvl w:val="0"/>
          <w:numId w:val="5"/>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val="en-US" w:eastAsia="es-MX"/>
        </w:rPr>
        <w:t xml:space="preserve">Condit, R., Windsor, D. M., &amp; Hubbell, S. P. </w:t>
      </w:r>
      <w:r w:rsidRPr="002A426F">
        <w:rPr>
          <w:rFonts w:ascii="Arial" w:eastAsia="Times New Roman" w:hAnsi="Arial" w:cs="Arial"/>
          <w:i/>
          <w:iCs/>
          <w:sz w:val="24"/>
          <w:szCs w:val="24"/>
          <w:lang w:val="en-US" w:eastAsia="es-MX"/>
        </w:rPr>
        <w:t>NPP Tropical Forest: Barro Colorado, Panama, 1969-1990</w:t>
      </w:r>
      <w:r w:rsidRPr="002A426F">
        <w:rPr>
          <w:rFonts w:ascii="Arial" w:eastAsia="Times New Roman" w:hAnsi="Arial" w:cs="Arial"/>
          <w:sz w:val="24"/>
          <w:szCs w:val="24"/>
          <w:lang w:val="en-US" w:eastAsia="es-MX"/>
        </w:rPr>
        <w:t xml:space="preserve">. ORNL DAAC, Oak Ridge, Tennessee, USA. </w:t>
      </w:r>
      <w:hyperlink r:id="rId9" w:history="1">
        <w:r w:rsidRPr="002A426F">
          <w:rPr>
            <w:rFonts w:ascii="Arial" w:eastAsia="Times New Roman" w:hAnsi="Arial" w:cs="Arial"/>
            <w:color w:val="0000FF"/>
            <w:sz w:val="24"/>
            <w:szCs w:val="24"/>
            <w:u w:val="single"/>
            <w:lang w:eastAsia="es-MX"/>
          </w:rPr>
          <w:t>https://doi.org/10.3334/ORNLDAAC/157</w:t>
        </w:r>
      </w:hyperlink>
    </w:p>
    <w:p w14:paraId="0A5B83DA" w14:textId="77777777" w:rsidR="00115B87" w:rsidRPr="002A426F" w:rsidRDefault="00115B87" w:rsidP="002A426F">
      <w:pPr>
        <w:numPr>
          <w:ilvl w:val="0"/>
          <w:numId w:val="5"/>
        </w:numPr>
        <w:spacing w:before="100" w:beforeAutospacing="1" w:after="100" w:afterAutospacing="1" w:line="360" w:lineRule="auto"/>
        <w:jc w:val="both"/>
        <w:rPr>
          <w:rFonts w:ascii="Arial" w:eastAsia="Times New Roman" w:hAnsi="Arial" w:cs="Arial"/>
          <w:sz w:val="24"/>
          <w:szCs w:val="24"/>
          <w:lang w:eastAsia="es-MX"/>
        </w:rPr>
      </w:pPr>
      <w:r w:rsidRPr="002A426F">
        <w:rPr>
          <w:rFonts w:ascii="Arial" w:eastAsia="Times New Roman" w:hAnsi="Arial" w:cs="Arial"/>
          <w:sz w:val="24"/>
          <w:szCs w:val="24"/>
          <w:lang w:val="en-US" w:eastAsia="es-MX"/>
        </w:rPr>
        <w:t xml:space="preserve">Mascaro, J., Asner, G. P., Muller-Landau, H. C., van </w:t>
      </w:r>
      <w:proofErr w:type="spellStart"/>
      <w:r w:rsidRPr="002A426F">
        <w:rPr>
          <w:rFonts w:ascii="Arial" w:eastAsia="Times New Roman" w:hAnsi="Arial" w:cs="Arial"/>
          <w:sz w:val="24"/>
          <w:szCs w:val="24"/>
          <w:lang w:val="en-US" w:eastAsia="es-MX"/>
        </w:rPr>
        <w:t>Breugel</w:t>
      </w:r>
      <w:proofErr w:type="spellEnd"/>
      <w:r w:rsidRPr="002A426F">
        <w:rPr>
          <w:rFonts w:ascii="Arial" w:eastAsia="Times New Roman" w:hAnsi="Arial" w:cs="Arial"/>
          <w:sz w:val="24"/>
          <w:szCs w:val="24"/>
          <w:lang w:val="en-US" w:eastAsia="es-MX"/>
        </w:rPr>
        <w:t xml:space="preserve">, M., Hall, J., &amp; Dahlin, K. </w:t>
      </w:r>
      <w:r w:rsidRPr="002A426F">
        <w:rPr>
          <w:rFonts w:ascii="Arial" w:eastAsia="Times New Roman" w:hAnsi="Arial" w:cs="Arial"/>
          <w:i/>
          <w:iCs/>
          <w:sz w:val="24"/>
          <w:szCs w:val="24"/>
          <w:lang w:val="en-US" w:eastAsia="es-MX"/>
        </w:rPr>
        <w:t>Controls over aboveground forest carbon density on Barro Colorado Island, Panama</w:t>
      </w:r>
      <w:r w:rsidRPr="002A426F">
        <w:rPr>
          <w:rFonts w:ascii="Arial" w:eastAsia="Times New Roman" w:hAnsi="Arial" w:cs="Arial"/>
          <w:sz w:val="24"/>
          <w:szCs w:val="24"/>
          <w:lang w:val="en-US" w:eastAsia="es-MX"/>
        </w:rPr>
        <w:t xml:space="preserve">. </w:t>
      </w:r>
      <w:r w:rsidRPr="002A426F">
        <w:rPr>
          <w:rFonts w:ascii="Arial" w:eastAsia="Times New Roman" w:hAnsi="Arial" w:cs="Arial"/>
          <w:sz w:val="24"/>
          <w:szCs w:val="24"/>
          <w:lang w:eastAsia="es-MX"/>
        </w:rPr>
        <w:t xml:space="preserve">Biogeosciences, 8(6), 1615–1629. </w:t>
      </w:r>
      <w:hyperlink r:id="rId10" w:history="1">
        <w:r w:rsidRPr="002A426F">
          <w:rPr>
            <w:rFonts w:ascii="Arial" w:eastAsia="Times New Roman" w:hAnsi="Arial" w:cs="Arial"/>
            <w:color w:val="0000FF"/>
            <w:sz w:val="24"/>
            <w:szCs w:val="24"/>
            <w:u w:val="single"/>
            <w:lang w:eastAsia="es-MX"/>
          </w:rPr>
          <w:t>https://doi.org/10.5194/bg-8-1615-2011</w:t>
        </w:r>
      </w:hyperlink>
    </w:p>
    <w:p w14:paraId="4CFC8132" w14:textId="778749AC" w:rsidR="00A355FA" w:rsidRPr="002A426F" w:rsidRDefault="00115B87" w:rsidP="002A426F">
      <w:pPr>
        <w:numPr>
          <w:ilvl w:val="0"/>
          <w:numId w:val="5"/>
        </w:numPr>
        <w:spacing w:before="100" w:beforeAutospacing="1" w:after="100" w:afterAutospacing="1" w:line="360" w:lineRule="auto"/>
        <w:jc w:val="both"/>
        <w:rPr>
          <w:rFonts w:ascii="Arial" w:eastAsia="Times New Roman" w:hAnsi="Arial" w:cs="Arial"/>
          <w:sz w:val="24"/>
          <w:szCs w:val="24"/>
          <w:lang w:eastAsia="es-MX"/>
        </w:rPr>
      </w:pPr>
      <w:proofErr w:type="spellStart"/>
      <w:r w:rsidRPr="002A426F">
        <w:rPr>
          <w:rFonts w:ascii="Arial" w:eastAsia="Times New Roman" w:hAnsi="Arial" w:cs="Arial"/>
          <w:sz w:val="24"/>
          <w:szCs w:val="24"/>
          <w:lang w:val="en-US" w:eastAsia="es-MX"/>
        </w:rPr>
        <w:t>Chave</w:t>
      </w:r>
      <w:proofErr w:type="spellEnd"/>
      <w:r w:rsidRPr="002A426F">
        <w:rPr>
          <w:rFonts w:ascii="Arial" w:eastAsia="Times New Roman" w:hAnsi="Arial" w:cs="Arial"/>
          <w:sz w:val="24"/>
          <w:szCs w:val="24"/>
          <w:lang w:val="en-US" w:eastAsia="es-MX"/>
        </w:rPr>
        <w:t xml:space="preserve">, J., </w:t>
      </w:r>
      <w:proofErr w:type="spellStart"/>
      <w:r w:rsidRPr="002A426F">
        <w:rPr>
          <w:rFonts w:ascii="Arial" w:eastAsia="Times New Roman" w:hAnsi="Arial" w:cs="Arial"/>
          <w:sz w:val="24"/>
          <w:szCs w:val="24"/>
          <w:lang w:val="en-US" w:eastAsia="es-MX"/>
        </w:rPr>
        <w:t>Andalo</w:t>
      </w:r>
      <w:proofErr w:type="spellEnd"/>
      <w:r w:rsidRPr="002A426F">
        <w:rPr>
          <w:rFonts w:ascii="Arial" w:eastAsia="Times New Roman" w:hAnsi="Arial" w:cs="Arial"/>
          <w:sz w:val="24"/>
          <w:szCs w:val="24"/>
          <w:lang w:val="en-US" w:eastAsia="es-MX"/>
        </w:rPr>
        <w:t xml:space="preserve">, C., Brown, S., et al. </w:t>
      </w:r>
      <w:r w:rsidRPr="002A426F">
        <w:rPr>
          <w:rFonts w:ascii="Arial" w:eastAsia="Times New Roman" w:hAnsi="Arial" w:cs="Arial"/>
          <w:i/>
          <w:iCs/>
          <w:sz w:val="24"/>
          <w:szCs w:val="24"/>
          <w:lang w:val="en-US" w:eastAsia="es-MX"/>
        </w:rPr>
        <w:t>Tree allometry and improved estimation of carbon stocks and balance in tropical forests</w:t>
      </w:r>
      <w:r w:rsidRPr="002A426F">
        <w:rPr>
          <w:rFonts w:ascii="Arial" w:eastAsia="Times New Roman" w:hAnsi="Arial" w:cs="Arial"/>
          <w:sz w:val="24"/>
          <w:szCs w:val="24"/>
          <w:lang w:val="en-US" w:eastAsia="es-MX"/>
        </w:rPr>
        <w:t xml:space="preserve">. </w:t>
      </w:r>
      <w:r w:rsidRPr="002A426F">
        <w:rPr>
          <w:rFonts w:ascii="Arial" w:eastAsia="Times New Roman" w:hAnsi="Arial" w:cs="Arial"/>
          <w:sz w:val="24"/>
          <w:szCs w:val="24"/>
          <w:lang w:eastAsia="es-MX"/>
        </w:rPr>
        <w:t>Oecologia, 145(1), 87–99.</w:t>
      </w:r>
    </w:p>
    <w:sectPr w:rsidR="00A355FA" w:rsidRPr="002A42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E9EFB" w14:textId="77777777" w:rsidR="00351884" w:rsidRDefault="00351884" w:rsidP="0039426D">
      <w:pPr>
        <w:spacing w:after="0" w:line="240" w:lineRule="auto"/>
      </w:pPr>
      <w:r>
        <w:separator/>
      </w:r>
    </w:p>
  </w:endnote>
  <w:endnote w:type="continuationSeparator" w:id="0">
    <w:p w14:paraId="394C8AA0" w14:textId="77777777" w:rsidR="00351884" w:rsidRDefault="00351884" w:rsidP="00394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240E6" w14:textId="77777777" w:rsidR="00351884" w:rsidRDefault="00351884" w:rsidP="0039426D">
      <w:pPr>
        <w:spacing w:after="0" w:line="240" w:lineRule="auto"/>
      </w:pPr>
      <w:r>
        <w:separator/>
      </w:r>
    </w:p>
  </w:footnote>
  <w:footnote w:type="continuationSeparator" w:id="0">
    <w:p w14:paraId="1F4C9D2C" w14:textId="77777777" w:rsidR="00351884" w:rsidRDefault="00351884" w:rsidP="0039426D">
      <w:pPr>
        <w:spacing w:after="0" w:line="240" w:lineRule="auto"/>
      </w:pPr>
      <w:r>
        <w:continuationSeparator/>
      </w:r>
    </w:p>
  </w:footnote>
  <w:footnote w:id="1">
    <w:p w14:paraId="664C8BDD" w14:textId="61FF8E71" w:rsidR="0039426D" w:rsidRPr="00B22DC5" w:rsidRDefault="0039426D">
      <w:pPr>
        <w:pStyle w:val="Textonotapie"/>
        <w:rPr>
          <w:lang w:val="es-ES_tradnl"/>
        </w:rPr>
      </w:pPr>
      <w:r>
        <w:rPr>
          <w:rStyle w:val="Refdenotaalpie"/>
        </w:rPr>
        <w:footnoteRef/>
      </w:r>
      <w:r>
        <w:t xml:space="preserve"> </w:t>
      </w:r>
      <w:r>
        <w:rPr>
          <w:lang w:val="es-ES_tradnl"/>
        </w:rPr>
        <w:t>El valor neto incluye las pérdidas de carbono por mortalidad, a menos que se indique lo contrario.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B10"/>
    <w:multiLevelType w:val="multilevel"/>
    <w:tmpl w:val="BAC83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02105"/>
    <w:multiLevelType w:val="multilevel"/>
    <w:tmpl w:val="F28469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D3674A"/>
    <w:multiLevelType w:val="multilevel"/>
    <w:tmpl w:val="AF722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2F669D"/>
    <w:multiLevelType w:val="multilevel"/>
    <w:tmpl w:val="ABD4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CB2322"/>
    <w:multiLevelType w:val="multilevel"/>
    <w:tmpl w:val="25D4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EE27F6"/>
    <w:multiLevelType w:val="multilevel"/>
    <w:tmpl w:val="7F1E20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D73136"/>
    <w:multiLevelType w:val="multilevel"/>
    <w:tmpl w:val="459C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604EF7"/>
    <w:multiLevelType w:val="multilevel"/>
    <w:tmpl w:val="1FB6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9D0491"/>
    <w:multiLevelType w:val="multilevel"/>
    <w:tmpl w:val="E20C6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E408F5"/>
    <w:multiLevelType w:val="multilevel"/>
    <w:tmpl w:val="9676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AB256E"/>
    <w:multiLevelType w:val="multilevel"/>
    <w:tmpl w:val="63460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6B4799"/>
    <w:multiLevelType w:val="multilevel"/>
    <w:tmpl w:val="D658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626C76"/>
    <w:multiLevelType w:val="multilevel"/>
    <w:tmpl w:val="75BC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10"/>
  </w:num>
  <w:num w:numId="5">
    <w:abstractNumId w:val="2"/>
  </w:num>
  <w:num w:numId="6">
    <w:abstractNumId w:val="3"/>
  </w:num>
  <w:num w:numId="7">
    <w:abstractNumId w:val="9"/>
  </w:num>
  <w:num w:numId="8">
    <w:abstractNumId w:val="0"/>
  </w:num>
  <w:num w:numId="9">
    <w:abstractNumId w:val="4"/>
  </w:num>
  <w:num w:numId="10">
    <w:abstractNumId w:val="7"/>
  </w:num>
  <w:num w:numId="11">
    <w:abstractNumId w:val="1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B87"/>
    <w:rsid w:val="0000474C"/>
    <w:rsid w:val="00057B35"/>
    <w:rsid w:val="00115B87"/>
    <w:rsid w:val="001E2B07"/>
    <w:rsid w:val="00297239"/>
    <w:rsid w:val="002A426F"/>
    <w:rsid w:val="002B7F09"/>
    <w:rsid w:val="003238BE"/>
    <w:rsid w:val="00351884"/>
    <w:rsid w:val="0039426D"/>
    <w:rsid w:val="004B4475"/>
    <w:rsid w:val="00507477"/>
    <w:rsid w:val="005318FE"/>
    <w:rsid w:val="009708FD"/>
    <w:rsid w:val="00A355FA"/>
    <w:rsid w:val="00B22DC5"/>
    <w:rsid w:val="00DB7CC2"/>
    <w:rsid w:val="00E374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0B67"/>
  <w15:chartTrackingRefBased/>
  <w15:docId w15:val="{D7C5BD4F-C685-464B-BF93-574AF9AD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115B87"/>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115B87"/>
    <w:rPr>
      <w:rFonts w:ascii="Times New Roman" w:eastAsia="Times New Roman" w:hAnsi="Times New Roman" w:cs="Times New Roman"/>
      <w:b/>
      <w:bCs/>
      <w:sz w:val="27"/>
      <w:szCs w:val="27"/>
      <w:lang w:eastAsia="es-MX"/>
    </w:rPr>
  </w:style>
  <w:style w:type="character" w:styleId="Textoennegrita">
    <w:name w:val="Strong"/>
    <w:basedOn w:val="Fuentedeprrafopredeter"/>
    <w:uiPriority w:val="22"/>
    <w:qFormat/>
    <w:rsid w:val="00115B87"/>
    <w:rPr>
      <w:b/>
      <w:bCs/>
    </w:rPr>
  </w:style>
  <w:style w:type="paragraph" w:styleId="NormalWeb">
    <w:name w:val="Normal (Web)"/>
    <w:basedOn w:val="Normal"/>
    <w:uiPriority w:val="99"/>
    <w:unhideWhenUsed/>
    <w:rsid w:val="00115B8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115B87"/>
    <w:rPr>
      <w:i/>
      <w:iCs/>
    </w:rPr>
  </w:style>
  <w:style w:type="character" w:styleId="Hipervnculo">
    <w:name w:val="Hyperlink"/>
    <w:basedOn w:val="Fuentedeprrafopredeter"/>
    <w:uiPriority w:val="99"/>
    <w:semiHidden/>
    <w:unhideWhenUsed/>
    <w:rsid w:val="00115B87"/>
    <w:rPr>
      <w:color w:val="0000FF"/>
      <w:u w:val="single"/>
    </w:rPr>
  </w:style>
  <w:style w:type="character" w:styleId="Refdecomentario">
    <w:name w:val="annotation reference"/>
    <w:basedOn w:val="Fuentedeprrafopredeter"/>
    <w:uiPriority w:val="99"/>
    <w:semiHidden/>
    <w:unhideWhenUsed/>
    <w:rsid w:val="0039426D"/>
    <w:rPr>
      <w:sz w:val="16"/>
      <w:szCs w:val="16"/>
    </w:rPr>
  </w:style>
  <w:style w:type="paragraph" w:styleId="Textocomentario">
    <w:name w:val="annotation text"/>
    <w:basedOn w:val="Normal"/>
    <w:link w:val="TextocomentarioCar"/>
    <w:uiPriority w:val="99"/>
    <w:semiHidden/>
    <w:unhideWhenUsed/>
    <w:rsid w:val="0039426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9426D"/>
    <w:rPr>
      <w:sz w:val="20"/>
      <w:szCs w:val="20"/>
    </w:rPr>
  </w:style>
  <w:style w:type="paragraph" w:styleId="Asuntodelcomentario">
    <w:name w:val="annotation subject"/>
    <w:basedOn w:val="Textocomentario"/>
    <w:next w:val="Textocomentario"/>
    <w:link w:val="AsuntodelcomentarioCar"/>
    <w:uiPriority w:val="99"/>
    <w:semiHidden/>
    <w:unhideWhenUsed/>
    <w:rsid w:val="0039426D"/>
    <w:rPr>
      <w:b/>
      <w:bCs/>
    </w:rPr>
  </w:style>
  <w:style w:type="character" w:customStyle="1" w:styleId="AsuntodelcomentarioCar">
    <w:name w:val="Asunto del comentario Car"/>
    <w:basedOn w:val="TextocomentarioCar"/>
    <w:link w:val="Asuntodelcomentario"/>
    <w:uiPriority w:val="99"/>
    <w:semiHidden/>
    <w:rsid w:val="0039426D"/>
    <w:rPr>
      <w:b/>
      <w:bCs/>
      <w:sz w:val="20"/>
      <w:szCs w:val="20"/>
    </w:rPr>
  </w:style>
  <w:style w:type="paragraph" w:styleId="Revisin">
    <w:name w:val="Revision"/>
    <w:hidden/>
    <w:uiPriority w:val="99"/>
    <w:semiHidden/>
    <w:rsid w:val="0039426D"/>
    <w:pPr>
      <w:spacing w:after="0" w:line="240" w:lineRule="auto"/>
    </w:pPr>
  </w:style>
  <w:style w:type="paragraph" w:styleId="Textonotapie">
    <w:name w:val="footnote text"/>
    <w:basedOn w:val="Normal"/>
    <w:link w:val="TextonotapieCar"/>
    <w:uiPriority w:val="99"/>
    <w:semiHidden/>
    <w:unhideWhenUsed/>
    <w:rsid w:val="0039426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9426D"/>
    <w:rPr>
      <w:sz w:val="20"/>
      <w:szCs w:val="20"/>
    </w:rPr>
  </w:style>
  <w:style w:type="character" w:styleId="Refdenotaalpie">
    <w:name w:val="footnote reference"/>
    <w:basedOn w:val="Fuentedeprrafopredeter"/>
    <w:uiPriority w:val="99"/>
    <w:semiHidden/>
    <w:unhideWhenUsed/>
    <w:rsid w:val="0039426D"/>
    <w:rPr>
      <w:vertAlign w:val="superscript"/>
    </w:rPr>
  </w:style>
  <w:style w:type="paragraph" w:styleId="Prrafodelista">
    <w:name w:val="List Paragraph"/>
    <w:basedOn w:val="Normal"/>
    <w:uiPriority w:val="34"/>
    <w:qFormat/>
    <w:rsid w:val="00E37456"/>
    <w:pPr>
      <w:ind w:left="720"/>
      <w:contextualSpacing/>
    </w:pPr>
  </w:style>
  <w:style w:type="character" w:customStyle="1" w:styleId="katex-mathml">
    <w:name w:val="katex-mathml"/>
    <w:basedOn w:val="Fuentedeprrafopredeter"/>
    <w:rsid w:val="002A426F"/>
  </w:style>
  <w:style w:type="character" w:customStyle="1" w:styleId="mord">
    <w:name w:val="mord"/>
    <w:basedOn w:val="Fuentedeprrafopredeter"/>
    <w:rsid w:val="002A4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4525">
      <w:bodyDiv w:val="1"/>
      <w:marLeft w:val="0"/>
      <w:marRight w:val="0"/>
      <w:marTop w:val="0"/>
      <w:marBottom w:val="0"/>
      <w:divBdr>
        <w:top w:val="none" w:sz="0" w:space="0" w:color="auto"/>
        <w:left w:val="none" w:sz="0" w:space="0" w:color="auto"/>
        <w:bottom w:val="none" w:sz="0" w:space="0" w:color="auto"/>
        <w:right w:val="none" w:sz="0" w:space="0" w:color="auto"/>
      </w:divBdr>
    </w:div>
    <w:div w:id="102893760">
      <w:bodyDiv w:val="1"/>
      <w:marLeft w:val="0"/>
      <w:marRight w:val="0"/>
      <w:marTop w:val="0"/>
      <w:marBottom w:val="0"/>
      <w:divBdr>
        <w:top w:val="none" w:sz="0" w:space="0" w:color="auto"/>
        <w:left w:val="none" w:sz="0" w:space="0" w:color="auto"/>
        <w:bottom w:val="none" w:sz="0" w:space="0" w:color="auto"/>
        <w:right w:val="none" w:sz="0" w:space="0" w:color="auto"/>
      </w:divBdr>
    </w:div>
    <w:div w:id="804857835">
      <w:bodyDiv w:val="1"/>
      <w:marLeft w:val="0"/>
      <w:marRight w:val="0"/>
      <w:marTop w:val="0"/>
      <w:marBottom w:val="0"/>
      <w:divBdr>
        <w:top w:val="none" w:sz="0" w:space="0" w:color="auto"/>
        <w:left w:val="none" w:sz="0" w:space="0" w:color="auto"/>
        <w:bottom w:val="none" w:sz="0" w:space="0" w:color="auto"/>
        <w:right w:val="none" w:sz="0" w:space="0" w:color="auto"/>
      </w:divBdr>
    </w:div>
    <w:div w:id="1412434962">
      <w:bodyDiv w:val="1"/>
      <w:marLeft w:val="0"/>
      <w:marRight w:val="0"/>
      <w:marTop w:val="0"/>
      <w:marBottom w:val="0"/>
      <w:divBdr>
        <w:top w:val="none" w:sz="0" w:space="0" w:color="auto"/>
        <w:left w:val="none" w:sz="0" w:space="0" w:color="auto"/>
        <w:bottom w:val="none" w:sz="0" w:space="0" w:color="auto"/>
        <w:right w:val="none" w:sz="0" w:space="0" w:color="auto"/>
      </w:divBdr>
    </w:div>
    <w:div w:id="1517504388">
      <w:bodyDiv w:val="1"/>
      <w:marLeft w:val="0"/>
      <w:marRight w:val="0"/>
      <w:marTop w:val="0"/>
      <w:marBottom w:val="0"/>
      <w:divBdr>
        <w:top w:val="none" w:sz="0" w:space="0" w:color="auto"/>
        <w:left w:val="none" w:sz="0" w:space="0" w:color="auto"/>
        <w:bottom w:val="none" w:sz="0" w:space="0" w:color="auto"/>
        <w:right w:val="none" w:sz="0" w:space="0" w:color="auto"/>
      </w:divBdr>
      <w:divsChild>
        <w:div w:id="2044288382">
          <w:marLeft w:val="0"/>
          <w:marRight w:val="0"/>
          <w:marTop w:val="0"/>
          <w:marBottom w:val="0"/>
          <w:divBdr>
            <w:top w:val="none" w:sz="0" w:space="0" w:color="auto"/>
            <w:left w:val="none" w:sz="0" w:space="0" w:color="auto"/>
            <w:bottom w:val="none" w:sz="0" w:space="0" w:color="auto"/>
            <w:right w:val="none" w:sz="0" w:space="0" w:color="auto"/>
          </w:divBdr>
          <w:divsChild>
            <w:div w:id="1318145419">
              <w:marLeft w:val="0"/>
              <w:marRight w:val="0"/>
              <w:marTop w:val="0"/>
              <w:marBottom w:val="0"/>
              <w:divBdr>
                <w:top w:val="none" w:sz="0" w:space="0" w:color="auto"/>
                <w:left w:val="none" w:sz="0" w:space="0" w:color="auto"/>
                <w:bottom w:val="none" w:sz="0" w:space="0" w:color="auto"/>
                <w:right w:val="none" w:sz="0" w:space="0" w:color="auto"/>
              </w:divBdr>
              <w:divsChild>
                <w:div w:id="318534222">
                  <w:marLeft w:val="0"/>
                  <w:marRight w:val="0"/>
                  <w:marTop w:val="0"/>
                  <w:marBottom w:val="0"/>
                  <w:divBdr>
                    <w:top w:val="none" w:sz="0" w:space="0" w:color="auto"/>
                    <w:left w:val="none" w:sz="0" w:space="0" w:color="auto"/>
                    <w:bottom w:val="none" w:sz="0" w:space="0" w:color="auto"/>
                    <w:right w:val="none" w:sz="0" w:space="0" w:color="auto"/>
                  </w:divBdr>
                  <w:divsChild>
                    <w:div w:id="195507371">
                      <w:marLeft w:val="0"/>
                      <w:marRight w:val="0"/>
                      <w:marTop w:val="0"/>
                      <w:marBottom w:val="0"/>
                      <w:divBdr>
                        <w:top w:val="none" w:sz="0" w:space="0" w:color="auto"/>
                        <w:left w:val="none" w:sz="0" w:space="0" w:color="auto"/>
                        <w:bottom w:val="none" w:sz="0" w:space="0" w:color="auto"/>
                        <w:right w:val="none" w:sz="0" w:space="0" w:color="auto"/>
                      </w:divBdr>
                      <w:divsChild>
                        <w:div w:id="1674338805">
                          <w:marLeft w:val="0"/>
                          <w:marRight w:val="0"/>
                          <w:marTop w:val="0"/>
                          <w:marBottom w:val="0"/>
                          <w:divBdr>
                            <w:top w:val="none" w:sz="0" w:space="0" w:color="auto"/>
                            <w:left w:val="none" w:sz="0" w:space="0" w:color="auto"/>
                            <w:bottom w:val="none" w:sz="0" w:space="0" w:color="auto"/>
                            <w:right w:val="none" w:sz="0" w:space="0" w:color="auto"/>
                          </w:divBdr>
                          <w:divsChild>
                            <w:div w:id="133198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585683">
      <w:bodyDiv w:val="1"/>
      <w:marLeft w:val="0"/>
      <w:marRight w:val="0"/>
      <w:marTop w:val="0"/>
      <w:marBottom w:val="0"/>
      <w:divBdr>
        <w:top w:val="none" w:sz="0" w:space="0" w:color="auto"/>
        <w:left w:val="none" w:sz="0" w:space="0" w:color="auto"/>
        <w:bottom w:val="none" w:sz="0" w:space="0" w:color="auto"/>
        <w:right w:val="none" w:sz="0" w:space="0" w:color="auto"/>
      </w:divBdr>
    </w:div>
    <w:div w:id="204767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i.org/10.5194/bg-8-1615-2011" TargetMode="External"/><Relationship Id="rId4" Type="http://schemas.openxmlformats.org/officeDocument/2006/relationships/webSettings" Target="webSettings.xml"/><Relationship Id="rId9" Type="http://schemas.openxmlformats.org/officeDocument/2006/relationships/hyperlink" Target="https://doi.org/10.3334/ORNLDAAC/15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1315</Words>
  <Characters>7238</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Marcial Arias</dc:creator>
  <cp:keywords/>
  <dc:description/>
  <cp:lastModifiedBy>Marcial Arias</cp:lastModifiedBy>
  <cp:revision>2</cp:revision>
  <dcterms:created xsi:type="dcterms:W3CDTF">2025-01-05T12:35:00Z</dcterms:created>
  <dcterms:modified xsi:type="dcterms:W3CDTF">2025-01-05T12:35:00Z</dcterms:modified>
</cp:coreProperties>
</file>